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Arial" w:hAnsi="Arial"/>
          <w:sz w:val="24"/>
          <w:szCs w:val="24"/>
        </w:rPr>
      </w:pPr>
      <w:r>
        <w:rPr>
          <w:rFonts w:eastAsia="Liberation Serif" w:cs="Arial" w:ascii="Arial" w:hAnsi="Arial"/>
          <w:b/>
          <w:sz w:val="24"/>
          <w:szCs w:val="24"/>
        </w:rPr>
        <w:t xml:space="preserve">Consórcio Público Intermunicipal de Saúde para Gerenciamento dos Serviços de Urgência e Emergência do Médio Piracicaba - </w:t>
      </w:r>
      <w:r>
        <w:rPr>
          <w:rFonts w:eastAsia="Liberation Serif" w:ascii="Arial" w:hAnsi="Arial"/>
          <w:b/>
          <w:sz w:val="24"/>
          <w:szCs w:val="24"/>
        </w:rPr>
        <w:t xml:space="preserve">CISURGMP </w:t>
      </w:r>
    </w:p>
    <w:p>
      <w:pPr>
        <w:pStyle w:val="Normal"/>
        <w:spacing w:lineRule="auto" w:line="240"/>
        <w:jc w:val="center"/>
        <w:rPr>
          <w:rFonts w:ascii="Arial" w:hAnsi="Arial" w:eastAsia="Arial" w:cs="Arial"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/>
        <w:jc w:val="center"/>
        <w:rPr/>
      </w:pPr>
      <w:r>
        <w:rPr>
          <w:rFonts w:eastAsia="Arial" w:cs="Arial" w:ascii="Arial" w:hAnsi="Arial"/>
          <w:b/>
          <w:bCs/>
          <w:sz w:val="24"/>
          <w:szCs w:val="24"/>
        </w:rPr>
        <w:t>ESTUDO TÉCNICO PRELIMINAR – ETP</w:t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hd w:val="clear" w:color="auto" w:fill="BFBFBF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Calibri Light" w:ascii="Arial" w:hAnsi="Arial" w:cstheme="majorHAnsi"/>
          <w:b/>
          <w:sz w:val="24"/>
          <w:szCs w:val="24"/>
        </w:rPr>
        <w:t>1 – Origem da demanda e necessidade da contratação</w:t>
      </w:r>
    </w:p>
    <w:p>
      <w:pPr>
        <w:pStyle w:val="Normal"/>
        <w:spacing w:lineRule="auto" w:line="240"/>
        <w:ind w:firstLine="720"/>
        <w:jc w:val="both"/>
        <w:rPr>
          <w:rFonts w:ascii="Arial" w:hAnsi="Arial" w:eastAsia="Arial" w:cs="Calibri Light" w:cstheme="majorHAnsi"/>
          <w:sz w:val="24"/>
          <w:szCs w:val="24"/>
        </w:rPr>
      </w:pPr>
      <w:r>
        <w:rPr>
          <w:rFonts w:eastAsia="Arial" w:cs="Calibri Light" w:cstheme="majorHAnsi" w:ascii="Arial" w:hAnsi="Arial"/>
          <w:sz w:val="24"/>
          <w:szCs w:val="24"/>
        </w:rPr>
      </w:r>
    </w:p>
    <w:p>
      <w:pPr>
        <w:pStyle w:val="Normal"/>
        <w:jc w:val="both"/>
        <w:rPr/>
      </w:pPr>
      <w:r>
        <w:rPr>
          <w:rFonts w:ascii="Arial" w:hAnsi="Arial"/>
          <w:b/>
          <w:bCs/>
          <w:sz w:val="24"/>
          <w:szCs w:val="24"/>
        </w:rPr>
        <w:t>1.1 -</w:t>
      </w:r>
      <w:r>
        <w:rPr>
          <w:rFonts w:eastAsia="Calibri" w:cs="Calibri Light" w:ascii="Arial" w:hAnsi="Arial" w:cstheme="majorHAnsi"/>
          <w:b/>
          <w:bCs/>
          <w:color w:val="000000"/>
          <w:sz w:val="24"/>
          <w:szCs w:val="24"/>
          <w:lang w:val="pt-PT" w:eastAsia="zh-CN" w:bidi="hi-IN"/>
        </w:rPr>
        <w:t xml:space="preserve"> </w:t>
      </w:r>
      <w:r>
        <w:rPr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 xml:space="preserve">O Consórcio Público Intermunicipal de Saúde para Gerenciamento dos Serviços de Urgência e Emergência do Médio Piracicaba – CISURGMP possui atualmente uma frota composta por </w:t>
      </w:r>
      <w:r>
        <w:rPr>
          <w:rStyle w:val="Strong"/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>11 (onze) veículos</w:t>
      </w:r>
      <w:r>
        <w:rPr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>, sendo: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>Lote 1</w:t>
      </w:r>
      <w:r>
        <w:rPr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 xml:space="preserve">: 8 (oito) </w:t>
      </w:r>
      <w:r>
        <w:rPr>
          <w:rStyle w:val="Strong"/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>ambulâncias tipo A (simples remoção).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>Lote 2</w:t>
      </w:r>
      <w:r>
        <w:rPr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 xml:space="preserve">: 02 (dois) </w:t>
      </w:r>
      <w:r>
        <w:rPr>
          <w:rStyle w:val="Strong"/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>furgões</w:t>
      </w:r>
      <w:r>
        <w:rPr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>, utilizados para transporte e apoio logístico;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>Lote 3</w:t>
      </w:r>
      <w:r>
        <w:rPr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 xml:space="preserve"> 01 (um) </w:t>
      </w:r>
      <w:r>
        <w:rPr>
          <w:rStyle w:val="Strong"/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>veículo administrativo</w:t>
      </w:r>
      <w:r>
        <w:rPr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>, utilizado para fins administrativos e operacionais.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 xml:space="preserve">A divisão da contratação em </w:t>
      </w:r>
      <w:r>
        <w:rPr>
          <w:rStyle w:val="Strong"/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>três lotes</w:t>
      </w:r>
      <w:r>
        <w:rPr>
          <w:rFonts w:cs="Calibri Light" w:ascii="Arial" w:hAnsi="Arial" w:cstheme="majorHAnsi"/>
          <w:color w:val="000000"/>
          <w:kern w:val="0"/>
          <w:sz w:val="24"/>
          <w:szCs w:val="24"/>
          <w:lang w:val="pt-PT" w:eastAsia="zh-CN" w:bidi="hi-IN"/>
        </w:rPr>
        <w:t xml:space="preserve"> visa otimizar os resultados, permitir maior competitividade e garantir propostas mais vantajosas, e</w:t>
      </w:r>
      <w:r>
        <w:rPr>
          <w:rFonts w:ascii="Arial" w:hAnsi="Arial"/>
          <w:sz w:val="24"/>
          <w:szCs w:val="24"/>
        </w:rPr>
        <w:t xml:space="preserve">ssa divisão permite que seguradoras especializadas em perfis distintos de veículos possam apresentar propostas adequadas, contribuindo para a economicidade e a eficiência do certame. 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cs="Calibri Light" w:ascii="Arial" w:hAnsi="Arial" w:cstheme="majorHAnsi"/>
          <w:b w:val="false"/>
          <w:bCs w:val="false"/>
          <w:color w:val="000000"/>
          <w:kern w:val="0"/>
          <w:sz w:val="24"/>
          <w:szCs w:val="24"/>
          <w:lang w:val="pt-PT" w:eastAsia="zh-CN" w:bidi="hi-IN"/>
        </w:rPr>
        <w:t xml:space="preserve">Considerando que tais veículos estão expostos diariamente a riscos diversos — como colisões, furtos, incêndios e eventos climáticos — e que sua indisponibilidade comprometeria diretamente a prestação do serviço à população, torna-se essencial a contratação de </w:t>
      </w:r>
      <w:r>
        <w:rPr>
          <w:rStyle w:val="Strong"/>
          <w:rFonts w:cs="Calibri Light" w:ascii="Arial" w:hAnsi="Arial" w:cstheme="majorHAnsi"/>
          <w:b w:val="false"/>
          <w:bCs w:val="false"/>
          <w:color w:val="000000"/>
          <w:kern w:val="0"/>
          <w:sz w:val="24"/>
          <w:szCs w:val="24"/>
          <w:lang w:val="pt-PT" w:eastAsia="zh-CN" w:bidi="hi-IN"/>
        </w:rPr>
        <w:t>seguro total</w:t>
      </w:r>
      <w:r>
        <w:rPr>
          <w:rFonts w:cs="Calibri Light" w:ascii="Arial" w:hAnsi="Arial" w:cstheme="majorHAnsi"/>
          <w:b w:val="false"/>
          <w:bCs w:val="false"/>
          <w:color w:val="000000"/>
          <w:kern w:val="0"/>
          <w:sz w:val="24"/>
          <w:szCs w:val="24"/>
          <w:lang w:val="pt-PT" w:eastAsia="zh-CN" w:bidi="hi-IN"/>
        </w:rPr>
        <w:t>, com cobertura ampla e assistência 24 horas.</w:t>
      </w:r>
    </w:p>
    <w:p>
      <w:pPr>
        <w:pStyle w:val="BodyText"/>
        <w:suppressAutoHyphens w:val="true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Calibri Light" w:ascii="Arial" w:hAnsi="Arial" w:cstheme="majorHAnsi"/>
          <w:b w:val="false"/>
          <w:bCs w:val="false"/>
          <w:color w:val="000000"/>
          <w:kern w:val="0"/>
          <w:sz w:val="24"/>
          <w:szCs w:val="24"/>
          <w:lang w:val="pt-PT" w:eastAsia="zh-CN" w:bidi="hi-IN"/>
        </w:rPr>
        <w:t>A medida visa proteger o patrimônio público, garantir a reposição ou reparo imediato da frota em caso de sinistro e assegurar a continuidade dos atendimentos de forma eficiente e segura. Além disso, a contratação é justificada com base no princípio da economicidade, ao evitar prejuízos financeiros decorrentes de danos não cobertos.</w:t>
      </w:r>
    </w:p>
    <w:p>
      <w:pPr>
        <w:pStyle w:val="BodyText"/>
        <w:suppressAutoHyphens w:val="true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Calibri Light" w:ascii="Arial" w:hAnsi="Arial" w:cstheme="majorHAnsi"/>
          <w:b w:val="false"/>
          <w:bCs w:val="false"/>
          <w:color w:val="000000"/>
          <w:kern w:val="0"/>
          <w:sz w:val="24"/>
          <w:szCs w:val="24"/>
          <w:lang w:val="pt-PT" w:eastAsia="zh-CN" w:bidi="hi-IN"/>
        </w:rPr>
        <w:t>Portanto, a demanda é necessária e estratégica para o início das operações do consórcio, assegurando uma estrutura robusta, segura e preparada para atender às urgências e emergências da população consorciada.</w:t>
      </w:r>
    </w:p>
    <w:p>
      <w:pPr>
        <w:pStyle w:val="Normal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hd w:val="clear" w:color="auto" w:fill="BFBFBF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Calibri Light" w:ascii="Arial" w:hAnsi="Arial" w:cstheme="majorHAnsi"/>
          <w:b/>
          <w:sz w:val="24"/>
          <w:szCs w:val="24"/>
        </w:rPr>
        <w:t>2 – Alinhamento estratégico entre a Contratação e o Planejamento</w:t>
      </w:r>
    </w:p>
    <w:p>
      <w:pPr>
        <w:pStyle w:val="Normal"/>
        <w:spacing w:lineRule="auto" w:line="240"/>
        <w:ind w:right="34"/>
        <w:jc w:val="both"/>
        <w:rPr>
          <w:rFonts w:ascii="Arial" w:hAnsi="Arial" w:eastAsia="Arial" w:cs="Calibri Light" w:cstheme="majorHAnsi"/>
          <w:b/>
          <w:sz w:val="24"/>
          <w:szCs w:val="24"/>
        </w:rPr>
      </w:pPr>
      <w:r>
        <w:rPr>
          <w:rFonts w:eastAsia="Arial" w:cs="Calibri Light" w:cstheme="majorHAnsi" w:ascii="Arial" w:hAnsi="Arial"/>
          <w:b/>
          <w:sz w:val="24"/>
          <w:szCs w:val="24"/>
        </w:rPr>
      </w:r>
    </w:p>
    <w:p>
      <w:pPr>
        <w:pStyle w:val="Normal"/>
        <w:spacing w:lineRule="auto" w:line="240"/>
        <w:jc w:val="both"/>
        <w:rPr/>
      </w:pPr>
      <w:r>
        <w:rPr>
          <w:rFonts w:eastAsia="Arial" w:cs="Calibri Light" w:ascii="Arial" w:hAnsi="Arial" w:cstheme="majorHAnsi"/>
          <w:b/>
          <w:bCs/>
          <w:sz w:val="24"/>
          <w:szCs w:val="24"/>
        </w:rPr>
        <w:t xml:space="preserve">2.1 </w:t>
      </w:r>
      <w:r>
        <w:rPr>
          <w:rFonts w:eastAsia="Arial" w:cs="Calibri Light" w:ascii="Arial" w:hAnsi="Arial" w:cstheme="majorHAnsi"/>
          <w:sz w:val="24"/>
          <w:szCs w:val="24"/>
        </w:rPr>
        <w:t xml:space="preserve">- </w:t>
      </w: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 xml:space="preserve">  A presente contratação está </w:t>
      </w:r>
      <w:r>
        <w:rPr>
          <w:rStyle w:val="Strong"/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alinhada diretamente aos objetivos estratégicos do CISURG Médio Piracicaba</w:t>
      </w: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 xml:space="preserve">, especialmente no que se refere à </w:t>
      </w:r>
      <w:r>
        <w:rPr>
          <w:rStyle w:val="Strong"/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eficiência operacional, gestão do risco institucional e continuidade dos serviços públicos de saúde de urgência e emergência</w:t>
      </w: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 xml:space="preserve">A proteção patrimonial por meio da contratação de </w:t>
      </w:r>
      <w:r>
        <w:rPr>
          <w:rStyle w:val="Strong"/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seguro total para os veículos e equipamentos embarcados</w:t>
      </w: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 xml:space="preserve"> está inserida dentro de uma política institucional de valorização dos bens públicos e da </w:t>
      </w:r>
      <w:r>
        <w:rPr>
          <w:rStyle w:val="Strong"/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promoção da segurança operacional</w:t>
      </w: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, contribuindo para:</w:t>
      </w:r>
    </w:p>
    <w:p>
      <w:pPr>
        <w:pStyle w:val="BodyText"/>
        <w:numPr>
          <w:ilvl w:val="0"/>
          <w:numId w:val="2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Aperfeiçoar os serviços de transporte de pacientes</w:t>
      </w: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, garantindo a disponibilidade e rápida reposição da frota em caso de sinistro;</w:t>
      </w:r>
    </w:p>
    <w:p>
      <w:pPr>
        <w:pStyle w:val="BodyText"/>
        <w:numPr>
          <w:ilvl w:val="0"/>
          <w:numId w:val="2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Assegurar a continuidade dos atendimentos de urgência e emergência</w:t>
      </w: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, mesmo diante de eventos adversos como acidentes, furtos ou incêndios;</w:t>
      </w:r>
    </w:p>
    <w:p>
      <w:pPr>
        <w:pStyle w:val="BodyText"/>
        <w:numPr>
          <w:ilvl w:val="0"/>
          <w:numId w:val="2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Minimizar riscos orçamentários</w:t>
      </w: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, evitando impactos financeiros imprevistos com a substituição de veículos ou equipamentos de alto custo;</w:t>
      </w:r>
    </w:p>
    <w:p>
      <w:pPr>
        <w:pStyle w:val="BodyText"/>
        <w:numPr>
          <w:ilvl w:val="0"/>
          <w:numId w:val="2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Aprimorar a governança pública</w:t>
      </w: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, com a adoção de práticas preventivas e gestão orientada à redução de passivos operacionais;</w:t>
      </w:r>
    </w:p>
    <w:p>
      <w:pPr>
        <w:pStyle w:val="BodyText"/>
        <w:numPr>
          <w:ilvl w:val="0"/>
          <w:numId w:val="2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Atender aos princípios da administração pública</w:t>
      </w: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, como a eficiência, economicidade e responsabilidade na aplicação de recursos.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 xml:space="preserve">A contratação contribui, portanto, para o cumprimento da </w:t>
      </w:r>
      <w:r>
        <w:rPr>
          <w:rStyle w:val="Strong"/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missão institucional do consórcio</w:t>
      </w:r>
      <w:r>
        <w:rPr>
          <w:rFonts w:eastAsia="Arial" w:cs="Calibri Light" w:ascii="Arial" w:hAnsi="Arial" w:cstheme="majorHAnsi"/>
          <w:color w:val="000000"/>
          <w:kern w:val="0"/>
          <w:sz w:val="24"/>
          <w:szCs w:val="24"/>
          <w:lang w:eastAsia="pt-BR"/>
        </w:rPr>
        <w:t>, que é ofertar serviços de saúde com qualidade, agilidade e segurança aos municípios consorciados, assegurando suporte logístico e técnico por meio de uma frota devidamente protegida.</w:t>
      </w:r>
    </w:p>
    <w:p>
      <w:pPr>
        <w:pStyle w:val="Normal"/>
        <w:spacing w:lineRule="auto" w:line="240"/>
        <w:jc w:val="both"/>
        <w:rPr>
          <w:rFonts w:ascii="Arial" w:hAnsi="Arial" w:eastAsia="Arial" w:cs="Calibri Light" w:cstheme="majorHAnsi"/>
          <w:color w:val="000000"/>
          <w:kern w:val="0"/>
          <w:sz w:val="24"/>
          <w:szCs w:val="24"/>
          <w:lang w:eastAsia="pt-BR"/>
        </w:rPr>
      </w:pPr>
      <w:r>
        <w:rPr>
          <w:rFonts w:eastAsia="Arial" w:cs="Calibri Light" w:cstheme="majorHAnsi" w:ascii="Arial" w:hAnsi="Arial"/>
          <w:color w:val="000000"/>
          <w:kern w:val="0"/>
          <w:sz w:val="24"/>
          <w:szCs w:val="24"/>
          <w:lang w:eastAsia="pt-BR"/>
        </w:rPr>
      </w:r>
    </w:p>
    <w:p>
      <w:pPr>
        <w:pStyle w:val="Normal"/>
        <w:shd w:val="clear" w:color="auto" w:fill="BFBFBF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Calibri Light" w:ascii="Arial" w:hAnsi="Arial" w:cstheme="majorHAnsi"/>
          <w:b/>
          <w:sz w:val="24"/>
          <w:szCs w:val="24"/>
        </w:rPr>
        <w:t>3 - Levantamento de mercado e estudo técnico</w:t>
      </w:r>
    </w:p>
    <w:p>
      <w:pPr>
        <w:pStyle w:val="Normal"/>
        <w:spacing w:lineRule="auto" w:line="240"/>
        <w:jc w:val="both"/>
        <w:rPr>
          <w:rFonts w:ascii="Arial" w:hAnsi="Arial" w:eastAsia="Arial" w:cs="Calibri Light" w:cstheme="majorHAnsi"/>
          <w:sz w:val="24"/>
          <w:szCs w:val="24"/>
        </w:rPr>
      </w:pPr>
      <w:r>
        <w:rPr>
          <w:rFonts w:eastAsia="Arial" w:cs="Calibri Light" w:cstheme="majorHAnsi" w:ascii="Arial" w:hAnsi="Arial"/>
          <w:sz w:val="24"/>
          <w:szCs w:val="24"/>
        </w:rPr>
      </w:r>
    </w:p>
    <w:p>
      <w:pPr>
        <w:pStyle w:val="Normal"/>
        <w:spacing w:lineRule="exact" w:line="283"/>
        <w:jc w:val="both"/>
        <w:rPr/>
      </w:pPr>
      <w:r>
        <w:rPr>
          <w:rStyle w:val="Fontepargpadro"/>
          <w:rFonts w:cs="Arial" w:ascii="Arial" w:hAnsi="Arial"/>
          <w:b/>
          <w:bCs/>
          <w:sz w:val="24"/>
          <w:szCs w:val="24"/>
        </w:rPr>
        <w:t>3.1</w:t>
      </w:r>
      <w:r>
        <w:rPr>
          <w:rStyle w:val="Fontepargpadro"/>
          <w:rFonts w:cs="Arial" w:ascii="Arial" w:hAnsi="Arial"/>
          <w:sz w:val="24"/>
          <w:szCs w:val="24"/>
        </w:rPr>
        <w:t>.</w:t>
      </w:r>
      <w:r>
        <w:rPr>
          <w:rStyle w:val="Strong"/>
          <w:rFonts w:eastAsia="Times New Roman" w:cs="Times New Roman" w:ascii="Arial" w:hAnsi="Arial"/>
          <w:color w:val="000000"/>
          <w:sz w:val="24"/>
          <w:szCs w:val="24"/>
          <w:lang w:eastAsia="pt-BR"/>
        </w:rPr>
        <w:t xml:space="preserve">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Para atender à necessidade de contratação de seguro total para a frota de veículos do CISURG Médio Piracicaba, foram analisadas três soluções possíveis, com base na legislação vigente e nas práticas administrativas de contratações públicas.</w:t>
      </w:r>
    </w:p>
    <w:p>
      <w:pPr>
        <w:pStyle w:val="Normal"/>
        <w:spacing w:lineRule="exact" w:line="283"/>
        <w:jc w:val="both"/>
        <w:rPr>
          <w:rStyle w:val="Strong"/>
          <w:rFonts w:ascii="Arial" w:hAnsi="Arial" w:eastAsia="Times New Roman" w:cs="Times New Roman"/>
          <w:i w:val="false"/>
          <w:i w:val="false"/>
          <w:iCs w:val="false"/>
          <w:color w:themeColor="accent1" w:themeShade="bf" w:val="000000"/>
          <w:kern w:val="0"/>
          <w:sz w:val="24"/>
          <w:szCs w:val="24"/>
          <w:lang w:eastAsia="pt-BR"/>
        </w:rPr>
      </w:pPr>
      <w:r>
        <w:rPr>
          <w:rFonts w:eastAsia="Times New Roman" w:cs="Times New Roman" w:ascii="Arial" w:hAnsi="Arial"/>
          <w:i w:val="false"/>
          <w:iCs w:val="false"/>
          <w:color w:themeColor="accent1" w:themeShade="bf" w:val="000000"/>
          <w:kern w:val="0"/>
          <w:sz w:val="24"/>
          <w:szCs w:val="24"/>
          <w:lang w:eastAsia="pt-BR"/>
        </w:rPr>
      </w:r>
    </w:p>
    <w:p>
      <w:pPr>
        <w:pStyle w:val="Heading4"/>
        <w:spacing w:lineRule="exact" w:line="283" w:before="0" w:after="283"/>
        <w:jc w:val="both"/>
        <w:rPr/>
      </w:pPr>
      <w:r>
        <w:rPr>
          <w:rStyle w:val="Strong"/>
          <w:rFonts w:eastAsia="Times New Roman" w:cs="Times New Roman" w:ascii="Arial" w:hAnsi="Arial"/>
          <w:i w:val="false"/>
          <w:iCs w:val="false"/>
          <w:color w:val="000000"/>
          <w:sz w:val="24"/>
          <w:szCs w:val="24"/>
        </w:rPr>
        <w:t>Solução 1 – Adesão a Ata de Registro de Preços (ARP)</w:t>
      </w:r>
    </w:p>
    <w:p>
      <w:pPr>
        <w:pStyle w:val="BodyText"/>
        <w:suppressAutoHyphens w:val="true"/>
        <w:spacing w:lineRule="exact" w:line="283"/>
        <w:jc w:val="both"/>
        <w:rPr/>
      </w:pP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Foi realizada consulta a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atas vigentes de registro de preços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 disponíveis em portais oficiais (como Compras.gov.br), bem como contato direto com alguns entes públicos e consórcios parceiros. Apesar de haver atas de seguro para veículos,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não foram identificadas ARPs específicas que atendam integralmente às exigências técnicas do objeto, especialmente à divisão em lotes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 conforme o perfil da frota.</w:t>
      </w:r>
    </w:p>
    <w:p>
      <w:pPr>
        <w:pStyle w:val="BodyText"/>
        <w:suppressAutoHyphens w:val="true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Além disso, a adesão a ARP exige que: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O objeto seja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idêntico ou equivalente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 ao demandado;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Haja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anuência formal do órgão gerenciador e do fornecedor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;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O quantitativo seja compatível com o originalmente registrado.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Conclusão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: Embora seja uma solução rápida,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a adesão a ARP não se mostrou viável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 devido à ausência de ata compatível e limitações quanto à personalização das coberturas necessárias.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eastAsia="Times New Roman" w:cs="Times New Roman" w:ascii="Arial" w:hAnsi="Arial"/>
          <w:color w:val="000000"/>
          <w:sz w:val="24"/>
          <w:szCs w:val="24"/>
        </w:rPr>
        <w:t xml:space="preserve"> </w:t>
      </w:r>
      <w:r>
        <w:rPr>
          <w:rStyle w:val="Strong"/>
          <w:rFonts w:eastAsia="Times New Roman" w:cs="Times New Roman" w:ascii="Arial" w:hAnsi="Arial"/>
          <w:color w:val="000000"/>
          <w:sz w:val="24"/>
          <w:szCs w:val="24"/>
        </w:rPr>
        <w:t>Solução 2 – Inexigibilidade de Licitação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A hipótese de inexigibilidade foi considerada com base no argumento da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inviabilidade de competição entre seguradoras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, caso nenhuma delas demonstrasse interesse ou apresentasse propostas. Para isso, foi iniciado um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levantamento junto a empresas e corretoras de seguros com atuação regional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, por meio de consultas e solicitações de cotação.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Entretanto, o levantamento de mercado evidenciou que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há oferta no setor, com pelo menos três empresas aptas e dispostas a cotar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 apólices específicas, inclusive com cláusulas para cobertura de equipamentos embarcados. Isso demonstra que existe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competitividade entre fornecedores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, o que inviabiliza juridicamente a utilização da inexigibilidade, nos termos do art. 74 da Lei nº 14.133/2021.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Conclusão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: A inexigibilidade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não se aplica ao caso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, dada a pluralidade de fornecedores capazes de atender à demanda.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eastAsia="Times New Roman" w:cs="Times New Roman" w:ascii="Arial" w:hAnsi="Arial"/>
          <w:color w:val="000000"/>
          <w:sz w:val="24"/>
          <w:szCs w:val="24"/>
        </w:rPr>
        <w:t xml:space="preserve"> </w:t>
      </w:r>
      <w:r>
        <w:rPr>
          <w:rStyle w:val="Strong"/>
          <w:rFonts w:eastAsia="Times New Roman" w:cs="Times New Roman" w:ascii="Arial" w:hAnsi="Arial"/>
          <w:color w:val="000000"/>
          <w:sz w:val="24"/>
          <w:szCs w:val="24"/>
        </w:rPr>
        <w:t>Solução 3 – Pregão Eletrônico (Recomendada)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O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pregão eletrônico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, na forma da Lei nº 14.133/2021 e do Decreto nº 10.024/2019, é a modalidade que melhor se alinha ao objeto em questão, por reunir as seguintes vantagens: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Ampla competitividade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, permitindo participação de seguradoras de todo o território nacional;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Celeridade e eficiência processual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, com ampla publicidade e trâmite eletrônico;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Adequação técnica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, já que é possível estabelecer exigências específicas no edital e no termo de referência (ex: assistência 24h, cláusulas adicionais);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Divisão em lotes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, permitindo propostas segmentadas por tipo de veículo, ampliando a competitividade e a aderência técnica das propostas;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Transparência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, com todas as etapas acessíveis e auditáveis em plataforma oficial.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Conclusão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: O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>pregão eletrônico é a solução mais vantajosa, eficiente e juridicamente adequada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</w:rPr>
        <w:t xml:space="preserve"> à natureza e à complexidade da contratação.</w:t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hd w:val="clear" w:color="auto" w:fill="BFBFBF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  <w:t>4 - Justificativas da escolha do tipo de solução para contratar</w:t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b/>
          <w:bCs/>
          <w:sz w:val="24"/>
          <w:szCs w:val="24"/>
          <w:highlight w:val="yellow"/>
        </w:rPr>
      </w:pPr>
      <w:r>
        <w:rPr>
          <w:rFonts w:eastAsia="Arial" w:cs="Arial" w:ascii="Arial" w:hAnsi="Arial"/>
          <w:b/>
          <w:bCs/>
          <w:sz w:val="24"/>
          <w:szCs w:val="24"/>
          <w:highlight w:val="yellow"/>
        </w:rPr>
      </w:r>
    </w:p>
    <w:p>
      <w:pPr>
        <w:pStyle w:val="BodyText"/>
        <w:spacing w:lineRule="auto" w:line="240"/>
        <w:jc w:val="both"/>
        <w:rPr/>
      </w:pPr>
      <w:r>
        <w:rPr>
          <w:rFonts w:eastAsia="Arial" w:cs="Arial" w:ascii="Arial" w:hAnsi="Arial"/>
          <w:b/>
          <w:bCs/>
          <w:color w:val="auto"/>
          <w:sz w:val="24"/>
          <w:szCs w:val="24"/>
          <w:lang w:eastAsia="ar-SA"/>
        </w:rPr>
        <w:t>4.1.-</w:t>
      </w:r>
      <w:r>
        <w:rPr>
          <w:rFonts w:eastAsia="Arial" w:cs="Arial" w:ascii="Arial" w:hAnsi="Arial"/>
          <w:color w:val="auto"/>
          <w:sz w:val="24"/>
          <w:szCs w:val="24"/>
          <w:lang w:eastAsia="ar-SA"/>
        </w:rPr>
        <w:t xml:space="preserve"> </w:t>
      </w:r>
      <w:r>
        <w:rPr>
          <w:rFonts w:eastAsia="Arial" w:cs="Arial" w:ascii="Arial" w:hAnsi="Arial"/>
          <w:sz w:val="24"/>
          <w:szCs w:val="24"/>
          <w:lang w:eastAsia="ar-SA"/>
        </w:rPr>
        <w:t xml:space="preserve">Com base no levantamento da necessidade institucional, na análise técnica e na consulta ao mercado, concluiu-se que a </w:t>
      </w:r>
      <w:r>
        <w:rPr>
          <w:rStyle w:val="Strong"/>
          <w:rFonts w:eastAsia="Arial" w:cs="Arial" w:ascii="Arial" w:hAnsi="Arial"/>
          <w:sz w:val="24"/>
          <w:szCs w:val="24"/>
          <w:lang w:eastAsia="ar-SA"/>
        </w:rPr>
        <w:t>solução mais adequada para contratação do seguro total da frota de veículos do CISURG Médio Piracicaba é a realização de Pregão Eletrônico, dividido em lotes</w:t>
      </w:r>
      <w:r>
        <w:rPr>
          <w:rFonts w:eastAsia="Arial" w:cs="Arial" w:ascii="Arial" w:hAnsi="Arial"/>
          <w:sz w:val="24"/>
          <w:szCs w:val="24"/>
          <w:lang w:eastAsia="ar-SA"/>
        </w:rPr>
        <w:t>.</w:t>
      </w:r>
    </w:p>
    <w:p>
      <w:pPr>
        <w:pStyle w:val="BodyText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  <w:lang w:eastAsia="ar-SA"/>
        </w:rPr>
        <w:t>Essa escolha é justificada pelos seguintes fatores:</w:t>
      </w:r>
    </w:p>
    <w:p>
      <w:pPr>
        <w:pStyle w:val="Heading4"/>
        <w:suppressAutoHyphens w:val="true"/>
        <w:spacing w:before="0" w:after="1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kern w:val="2"/>
          <w:sz w:val="24"/>
          <w:szCs w:val="24"/>
          <w:lang w:eastAsia="ar-SA"/>
        </w:rPr>
        <w:t>a) Natureza Comum do Objeto</w:t>
      </w:r>
    </w:p>
    <w:p>
      <w:pPr>
        <w:pStyle w:val="BodyText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  <w:lang w:eastAsia="ar-SA"/>
        </w:rPr>
        <w:t>O objeto da contratação — seguro automotivo com cobertura compreensiva e adicionais — é classificado como bem ou serviço comum, nos termos do §1º do art. 6º da Lei nº 14.133/2021, uma vez que as condições de fornecimento podem ser objetivamente definidas no Termo de Referência.</w:t>
      </w:r>
    </w:p>
    <w:p>
      <w:pPr>
        <w:pStyle w:val="Heading4"/>
        <w:suppressAutoHyphens w:val="true"/>
        <w:spacing w:before="0" w:after="1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kern w:val="2"/>
          <w:sz w:val="24"/>
          <w:szCs w:val="24"/>
          <w:lang w:eastAsia="ar-SA"/>
        </w:rPr>
        <w:t>b) Existência de Mercado Competitivo</w:t>
      </w:r>
    </w:p>
    <w:p>
      <w:pPr>
        <w:pStyle w:val="BodyText"/>
        <w:spacing w:lineRule="auto" w:line="240"/>
        <w:jc w:val="both"/>
        <w:rPr/>
      </w:pPr>
      <w:r>
        <w:rPr>
          <w:rFonts w:eastAsia="Arial" w:cs="Arial" w:ascii="Arial" w:hAnsi="Arial"/>
          <w:sz w:val="24"/>
          <w:szCs w:val="24"/>
          <w:lang w:eastAsia="ar-SA"/>
        </w:rPr>
        <w:t xml:space="preserve">A consulta prévia a empresas e corretoras de seguros com atuação regional e nacional demonstrou a </w:t>
      </w:r>
      <w:r>
        <w:rPr>
          <w:rStyle w:val="Strong"/>
          <w:rFonts w:eastAsia="Arial" w:cs="Arial" w:ascii="Arial" w:hAnsi="Arial"/>
          <w:sz w:val="24"/>
          <w:szCs w:val="24"/>
          <w:lang w:eastAsia="ar-SA"/>
        </w:rPr>
        <w:t>existência de, no mínimo, três fornecedores aptos a prestar o serviço</w:t>
      </w:r>
      <w:r>
        <w:rPr>
          <w:rFonts w:eastAsia="Arial" w:cs="Arial" w:ascii="Arial" w:hAnsi="Arial"/>
          <w:sz w:val="24"/>
          <w:szCs w:val="24"/>
          <w:lang w:eastAsia="ar-SA"/>
        </w:rPr>
        <w:t xml:space="preserve">, com possibilidade de disputa. Logo, </w:t>
      </w:r>
      <w:r>
        <w:rPr>
          <w:rStyle w:val="Strong"/>
          <w:rFonts w:eastAsia="Arial" w:cs="Arial" w:ascii="Arial" w:hAnsi="Arial"/>
          <w:sz w:val="24"/>
          <w:szCs w:val="24"/>
          <w:lang w:eastAsia="ar-SA"/>
        </w:rPr>
        <w:t>há viabilidade de competição</w:t>
      </w:r>
      <w:r>
        <w:rPr>
          <w:rFonts w:eastAsia="Arial" w:cs="Arial" w:ascii="Arial" w:hAnsi="Arial"/>
          <w:sz w:val="24"/>
          <w:szCs w:val="24"/>
          <w:lang w:eastAsia="ar-SA"/>
        </w:rPr>
        <w:t>, o que afasta a hipótese de inexigibilidade.</w:t>
      </w:r>
    </w:p>
    <w:p>
      <w:pPr>
        <w:pStyle w:val="Heading4"/>
        <w:suppressAutoHyphens w:val="true"/>
        <w:spacing w:before="0" w:after="1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kern w:val="2"/>
          <w:sz w:val="24"/>
          <w:szCs w:val="24"/>
          <w:lang w:eastAsia="ar-SA"/>
        </w:rPr>
        <w:t>c) Inviabilidade da Adesão a ARP</w:t>
      </w:r>
    </w:p>
    <w:p>
      <w:pPr>
        <w:pStyle w:val="BodyText"/>
        <w:spacing w:lineRule="auto" w:line="240"/>
        <w:jc w:val="both"/>
        <w:rPr/>
      </w:pPr>
      <w:r>
        <w:rPr>
          <w:rFonts w:eastAsia="Arial" w:cs="Arial" w:ascii="Arial" w:hAnsi="Arial"/>
          <w:sz w:val="24"/>
          <w:szCs w:val="24"/>
          <w:lang w:eastAsia="ar-SA"/>
        </w:rPr>
        <w:t xml:space="preserve">Foram analisadas atas de registro de preços vigentes nos portais públicos, porém não foi identificada nenhuma que atendesse </w:t>
      </w:r>
      <w:r>
        <w:rPr>
          <w:rStyle w:val="Strong"/>
          <w:rFonts w:eastAsia="Arial" w:cs="Arial" w:ascii="Arial" w:hAnsi="Arial"/>
          <w:sz w:val="24"/>
          <w:szCs w:val="24"/>
          <w:lang w:eastAsia="ar-SA"/>
        </w:rPr>
        <w:t>integralmente às especificidades técnicas exigidas</w:t>
      </w:r>
      <w:r>
        <w:rPr>
          <w:rFonts w:eastAsia="Arial" w:cs="Arial" w:ascii="Arial" w:hAnsi="Arial"/>
          <w:sz w:val="24"/>
          <w:szCs w:val="24"/>
          <w:lang w:eastAsia="ar-SA"/>
        </w:rPr>
        <w:t>, especialmente quanto à cobertura de equipamentos embarcados, divisão por lotes e características da frota do consórcio.</w:t>
      </w:r>
    </w:p>
    <w:p>
      <w:pPr>
        <w:pStyle w:val="Heading4"/>
        <w:suppressAutoHyphens w:val="true"/>
        <w:spacing w:before="0" w:after="1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kern w:val="2"/>
          <w:sz w:val="24"/>
          <w:szCs w:val="24"/>
          <w:lang w:eastAsia="ar-SA"/>
        </w:rPr>
        <w:t>d) Vantagens Técnicas do Pregão Eletrônico</w:t>
      </w:r>
    </w:p>
    <w:p>
      <w:pPr>
        <w:pStyle w:val="BodyText"/>
        <w:spacing w:lineRule="auto" w:line="240"/>
        <w:jc w:val="both"/>
        <w:rPr/>
      </w:pPr>
      <w:r>
        <w:rPr>
          <w:rFonts w:eastAsia="Arial" w:cs="Arial" w:ascii="Arial" w:hAnsi="Arial"/>
          <w:sz w:val="24"/>
          <w:szCs w:val="24"/>
          <w:lang w:eastAsia="ar-SA"/>
        </w:rPr>
        <w:t xml:space="preserve">O </w:t>
      </w:r>
      <w:r>
        <w:rPr>
          <w:rStyle w:val="Strong"/>
          <w:rFonts w:eastAsia="Arial" w:cs="Arial" w:ascii="Arial" w:hAnsi="Arial"/>
          <w:sz w:val="24"/>
          <w:szCs w:val="24"/>
          <w:lang w:eastAsia="ar-SA"/>
        </w:rPr>
        <w:t>Pregão Eletrônico</w:t>
      </w:r>
      <w:r>
        <w:rPr>
          <w:rFonts w:eastAsia="Arial" w:cs="Arial" w:ascii="Arial" w:hAnsi="Arial"/>
          <w:sz w:val="24"/>
          <w:szCs w:val="24"/>
          <w:lang w:eastAsia="ar-SA"/>
        </w:rPr>
        <w:t xml:space="preserve"> permite: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  <w:lang w:eastAsia="ar-SA"/>
        </w:rPr>
        <w:t>Maior transparência, controle e rastreabilidade do processo;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  <w:lang w:eastAsia="ar-SA"/>
        </w:rPr>
        <w:t>Participação ampla de empresas do setor, inclusive especializadas por tipo de veículo;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  <w:lang w:eastAsia="ar-SA"/>
        </w:rPr>
        <w:t>Definição clara de requisitos técnicos mínimos para cada lote;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  <w:lang w:eastAsia="ar-SA"/>
        </w:rPr>
        <w:t>Obtenção da proposta mais vantajosa para a Administração, com base no critério de menor preço por lote.</w:t>
      </w:r>
    </w:p>
    <w:p>
      <w:pPr>
        <w:pStyle w:val="Heading4"/>
        <w:suppressAutoHyphens w:val="true"/>
        <w:spacing w:before="0" w:after="1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kern w:val="2"/>
          <w:sz w:val="24"/>
          <w:szCs w:val="24"/>
          <w:lang w:eastAsia="ar-SA"/>
        </w:rPr>
        <w:t>e) Atendimento aos Princípios da Nova Lei de Licitações</w:t>
      </w:r>
    </w:p>
    <w:p>
      <w:pPr>
        <w:pStyle w:val="BodyText"/>
        <w:spacing w:lineRule="auto" w:line="240"/>
        <w:jc w:val="both"/>
        <w:rPr/>
      </w:pPr>
      <w:r>
        <w:rPr>
          <w:rFonts w:eastAsia="Arial" w:cs="Arial" w:ascii="Arial" w:hAnsi="Arial"/>
          <w:sz w:val="24"/>
          <w:szCs w:val="24"/>
          <w:lang w:eastAsia="ar-SA"/>
        </w:rPr>
        <w:t xml:space="preserve">A escolha está em conformidade com os princípios do </w:t>
      </w:r>
      <w:r>
        <w:rPr>
          <w:rStyle w:val="Strong"/>
          <w:rFonts w:eastAsia="Arial" w:cs="Arial" w:ascii="Arial" w:hAnsi="Arial"/>
          <w:sz w:val="24"/>
          <w:szCs w:val="24"/>
          <w:lang w:eastAsia="ar-SA"/>
        </w:rPr>
        <w:t>planejamento, eficiência, economicidade, isonomia, transparência e interesse público</w:t>
      </w:r>
      <w:r>
        <w:rPr>
          <w:rFonts w:eastAsia="Arial" w:cs="Arial" w:ascii="Arial" w:hAnsi="Arial"/>
          <w:sz w:val="24"/>
          <w:szCs w:val="24"/>
          <w:lang w:eastAsia="ar-SA"/>
        </w:rPr>
        <w:t>, previstos nos arts. 5º e 11 da Lei nº 14.133/2021.</w:t>
      </w:r>
    </w:p>
    <w:p>
      <w:pPr>
        <w:pStyle w:val="BodyText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240" w:before="0" w:after="140"/>
        <w:ind w:hanging="0" w:left="0" w:right="0"/>
        <w:jc w:val="both"/>
        <w:textAlignment w:val="auto"/>
        <w:rPr/>
      </w:pPr>
      <w:r>
        <w:rPr>
          <w:rFonts w:eastAsia="Arial" w:cs="Arial" w:ascii="Arial" w:hAnsi="Arial"/>
          <w:color w:val="000000"/>
          <w:kern w:val="0"/>
          <w:sz w:val="24"/>
          <w:szCs w:val="24"/>
          <w:shd w:fill="auto" w:val="clear"/>
          <w:lang w:eastAsia="pt-BR"/>
        </w:rPr>
        <w:t xml:space="preserve">Esclarecemos que o orçamento foi obtido por meio da plataforma </w:t>
      </w:r>
      <w:hyperlink r:id="rId2" w:tgtFrame="_new">
        <w:r>
          <w:rPr>
            <w:rStyle w:val="Hyperlink"/>
            <w:rFonts w:eastAsia="Arial" w:cs="Arial" w:ascii="Arial" w:hAnsi="Arial"/>
            <w:b/>
            <w:bCs/>
            <w:color w:val="000000"/>
            <w:kern w:val="0"/>
            <w:sz w:val="24"/>
            <w:szCs w:val="24"/>
            <w:shd w:fill="auto" w:val="clear"/>
            <w:lang w:eastAsia="pt-BR"/>
          </w:rPr>
          <w:t>www.licitar.digital</w:t>
        </w:r>
      </w:hyperlink>
      <w:r>
        <w:rPr>
          <w:rFonts w:eastAsia="Arial" w:cs="Arial" w:ascii="Arial" w:hAnsi="Arial"/>
          <w:color w:val="000000"/>
          <w:kern w:val="0"/>
          <w:sz w:val="24"/>
          <w:szCs w:val="24"/>
          <w:shd w:fill="auto" w:val="clear"/>
          <w:lang w:eastAsia="pt-BR"/>
        </w:rPr>
        <w:t>, ferramenta especializada em cotações e processos de contratação pública. A utilização desta plataforma possibilitou acesso rápido a fornecedores qualificados, com transparência e segurança na coleta das informações.</w:t>
      </w:r>
    </w:p>
    <w:p>
      <w:pPr>
        <w:pStyle w:val="BodyText"/>
        <w:tabs>
          <w:tab w:val="clear" w:pos="708"/>
          <w:tab w:val="left" w:pos="0" w:leader="none"/>
        </w:tabs>
        <w:spacing w:lineRule="auto" w:line="240"/>
        <w:jc w:val="both"/>
        <w:rPr>
          <w:highlight w:val="none"/>
          <w:shd w:fill="auto" w:val="clear"/>
        </w:rPr>
      </w:pPr>
      <w:r>
        <w:rPr>
          <w:rFonts w:eastAsia="Arial" w:cs="Arial" w:ascii="Arial" w:hAnsi="Arial"/>
          <w:color w:val="000000"/>
          <w:kern w:val="0"/>
          <w:shd w:fill="auto" w:val="clear"/>
          <w:lang w:eastAsia="pt-BR"/>
        </w:rPr>
        <w:t>Dessa forma, consideramos que a pesquisa realizada foi viável e adequada, garantindo confiabilidade nos valores apresentados e atendendo às necessidades do Consórcio, de acordo com as boas práticas de gestão e economicidade.</w:t>
      </w:r>
    </w:p>
    <w:p>
      <w:pPr>
        <w:pStyle w:val="BodyText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240" w:before="0" w:after="140"/>
        <w:ind w:hanging="0" w:left="0" w:right="0"/>
        <w:jc w:val="both"/>
        <w:textAlignment w:val="auto"/>
        <w:rPr>
          <w:rFonts w:ascii="Arial" w:hAnsi="Arial" w:eastAsia="Arial" w:cs="Arial"/>
          <w:color w:val="000000"/>
          <w:kern w:val="0"/>
          <w:sz w:val="24"/>
          <w:szCs w:val="24"/>
          <w:lang w:eastAsia="pt-BR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</w:r>
    </w:p>
    <w:tbl>
      <w:tblPr>
        <w:tblW w:w="8365" w:type="dxa"/>
        <w:jc w:val="left"/>
        <w:tblInd w:w="1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365"/>
      </w:tblGrid>
      <w:tr>
        <w:trPr/>
        <w:tc>
          <w:tcPr>
            <w:tcW w:w="8365" w:type="dxa"/>
            <w:tcBorders/>
            <w:shd w:color="auto" w:fill="CCCCCC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left="-113" w:right="113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sz w:val="24"/>
                <w:szCs w:val="24"/>
              </w:rPr>
              <w:t>5 - Contratações correlatas e, ou interdependentes</w:t>
            </w:r>
          </w:p>
        </w:tc>
      </w:tr>
    </w:tbl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b/>
          <w:bCs/>
        </w:rPr>
      </w:pPr>
      <w:r>
        <w:rPr>
          <w:rFonts w:eastAsia="Arial" w:cs="Arial" w:ascii="Arial" w:hAnsi="Arial"/>
          <w:b/>
          <w:bCs/>
          <w:sz w:val="24"/>
          <w:szCs w:val="24"/>
        </w:rPr>
        <w:t xml:space="preserve">5.1 - </w:t>
      </w:r>
      <w:r>
        <w:rPr>
          <w:rStyle w:val="Strong"/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lang w:eastAsia="pt-BR"/>
          <w14:ligatures w14:val="none"/>
        </w:rPr>
        <w:t>Não existem contratações diretamente correlatas ou interdependentes</w:t>
      </w:r>
      <w:r>
        <w:rPr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lang w:eastAsia="pt-BR"/>
          <w14:ligatures w14:val="none"/>
        </w:rPr>
        <w:t xml:space="preserve"> do ponto de vista jurídico/contratual.</w:t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b w:val="false"/>
          <w:bCs w:val="false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20"/>
        <w:jc w:val="both"/>
        <w:rPr>
          <w:rFonts w:ascii="Arial" w:hAnsi="Arial" w:eastAsia="Arial" w:cs="Arial"/>
          <w:b/>
          <w:bCs/>
          <w:color w:val="000000"/>
          <w:kern w:val="0"/>
          <w:lang w:eastAsia="pt-BR"/>
          <w14:ligatures w14:val="none"/>
        </w:rPr>
      </w:pPr>
      <w:r>
        <w:rPr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lang w:eastAsia="pt-BR"/>
          <w14:ligatures w14:val="none"/>
        </w:rPr>
        <w:t xml:space="preserve">O seguro é um serviço </w:t>
      </w:r>
      <w:r>
        <w:rPr>
          <w:rStyle w:val="Strong"/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lang w:eastAsia="pt-BR"/>
          <w14:ligatures w14:val="none"/>
        </w:rPr>
        <w:t>autônomo</w:t>
      </w:r>
      <w:r>
        <w:rPr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lang w:eastAsia="pt-BR"/>
          <w14:ligatures w14:val="none"/>
        </w:rPr>
        <w:t>, que não depende de outro contrato para existir e funcionar.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20"/>
        <w:jc w:val="both"/>
        <w:rPr>
          <w:rFonts w:ascii="Arial" w:hAnsi="Arial" w:eastAsia="Arial" w:cs="Arial"/>
          <w:b/>
          <w:bCs/>
        </w:rPr>
      </w:pPr>
      <w:r>
        <w:rPr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lang w:eastAsia="pt-BR"/>
          <w14:ligatures w14:val="none"/>
        </w:rPr>
        <w:t xml:space="preserve">Há apenas uma </w:t>
      </w:r>
      <w:r>
        <w:rPr>
          <w:rStyle w:val="Strong"/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lang w:eastAsia="pt-BR"/>
          <w14:ligatures w14:val="none"/>
        </w:rPr>
        <w:t>vinculação indireta</w:t>
      </w:r>
      <w:r>
        <w:rPr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lang w:eastAsia="pt-BR"/>
          <w14:ligatures w14:val="none"/>
        </w:rPr>
        <w:t xml:space="preserve">: o seguro protege o patrimônio  que é utilizado em outros contratos, como manutenção, abastecimento e operação da frota — mas isso não gera </w:t>
      </w:r>
      <w:r>
        <w:rPr>
          <w:rStyle w:val="Strong"/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lang w:eastAsia="pt-BR"/>
          <w14:ligatures w14:val="none"/>
        </w:rPr>
        <w:t>interdependência formal</w:t>
      </w:r>
      <w:r>
        <w:rPr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</w:p>
    <w:tbl>
      <w:tblPr>
        <w:tblW w:w="8385" w:type="dxa"/>
        <w:jc w:val="left"/>
        <w:tblInd w:w="1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385"/>
      </w:tblGrid>
      <w:tr>
        <w:trPr/>
        <w:tc>
          <w:tcPr>
            <w:tcW w:w="8385" w:type="dxa"/>
            <w:tcBorders/>
            <w:shd w:color="auto" w:fill="CCCCCC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left="-113" w:right="113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sz w:val="24"/>
                <w:szCs w:val="24"/>
              </w:rPr>
              <w:t>6 - Possíveis impactos ambientais</w:t>
            </w:r>
          </w:p>
        </w:tc>
      </w:tr>
    </w:tbl>
    <w:p>
      <w:pPr>
        <w:pStyle w:val="Normal"/>
        <w:widowControl w:val="false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widowControl w:val="false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 xml:space="preserve">6.1. </w:t>
      </w:r>
      <w:r>
        <w:rPr>
          <w:rFonts w:ascii="Arial" w:hAnsi="Arial"/>
          <w:sz w:val="24"/>
          <w:szCs w:val="24"/>
        </w:rPr>
        <w:t xml:space="preserve">A contratação do seguro total para a frota de veículos e  ambulâncias do CISURG Médio Piracicaba, por si só, não gera impactos ambientais diretos significativos, pois trata-se de uma prestação de serviço relacionada à proteção patrimonial. </w:t>
      </w:r>
    </w:p>
    <w:p>
      <w:pPr>
        <w:pStyle w:val="Normal"/>
        <w:widowControl w:val="false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hd w:val="clear" w:color="auto" w:fill="BFBFBF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  <w:t xml:space="preserve">7 - Estimativa das quantidades, especificação técnica dos itens a serem contratados </w:t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bCs/>
          <w:color w:val="auto"/>
          <w:sz w:val="24"/>
          <w:szCs w:val="24"/>
        </w:rPr>
        <w:t xml:space="preserve">7.1 - </w:t>
      </w:r>
      <w:r>
        <w:rPr>
          <w:rFonts w:ascii="Arial" w:hAnsi="Arial"/>
          <w:sz w:val="24"/>
          <w:szCs w:val="24"/>
        </w:rPr>
        <w:t xml:space="preserve">A contratação prevê a contratação de seguros automotivos totais para a frota do CISURG Médio Piracicaba, distribuída em três lotes, conforme a seguir: </w:t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color w:val="auto"/>
          <w:sz w:val="24"/>
          <w:szCs w:val="24"/>
        </w:rPr>
      </w:pPr>
      <w:r>
        <w:rPr>
          <w:rFonts w:eastAsia="Arial" w:cs="Arial" w:ascii="Arial" w:hAnsi="Arial"/>
          <w:color w:val="auto"/>
          <w:sz w:val="24"/>
          <w:szCs w:val="24"/>
        </w:rPr>
      </w:r>
    </w:p>
    <w:tbl>
      <w:tblPr>
        <w:tblW w:w="9254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79"/>
        <w:gridCol w:w="2053"/>
        <w:gridCol w:w="1944"/>
        <w:gridCol w:w="2877"/>
      </w:tblGrid>
      <w:tr>
        <w:trPr>
          <w:trHeight w:val="293" w:hRule="atLeast"/>
        </w:trPr>
        <w:tc>
          <w:tcPr>
            <w:tcW w:w="6376" w:type="dxa"/>
            <w:gridSpan w:val="3"/>
            <w:tcBorders>
              <w:top w:val="thickThinSmallGap" w:sz="2" w:space="0" w:color="000000"/>
              <w:left w:val="thickThinSmallGap" w:sz="2" w:space="0" w:color="000000"/>
              <w:bottom w:val="thickThinSmallGap" w:sz="2" w:space="0" w:color="000000"/>
            </w:tcBorders>
            <w:shd w:fill="729FCF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FROTAS</w:t>
            </w:r>
          </w:p>
        </w:tc>
        <w:tc>
          <w:tcPr>
            <w:tcW w:w="2877" w:type="dxa"/>
            <w:vMerge w:val="restart"/>
            <w:tcBorders>
              <w:top w:val="thickThinSmallGap" w:sz="2" w:space="0" w:color="000000"/>
              <w:left w:val="thickThinSmallGap" w:sz="2" w:space="0" w:color="000000"/>
              <w:bottom w:val="thickThinSmallGap" w:sz="2" w:space="0" w:color="000000"/>
              <w:right w:val="thickThinSmallGap" w:sz="2" w:space="0" w:color="000000"/>
            </w:tcBorders>
            <w:shd w:fill="729FCF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VALOR</w:t>
            </w:r>
          </w:p>
        </w:tc>
      </w:tr>
      <w:tr>
        <w:trPr>
          <w:trHeight w:val="300" w:hRule="atLeast"/>
        </w:trPr>
        <w:tc>
          <w:tcPr>
            <w:tcW w:w="2379" w:type="dxa"/>
            <w:tcBorders>
              <w:left w:val="thickThinSmallGap" w:sz="2" w:space="0" w:color="000000"/>
              <w:bottom w:val="thickThinSmallGap" w:sz="2" w:space="0" w:color="000000"/>
            </w:tcBorders>
            <w:shd w:fill="729FCF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LOTE</w:t>
            </w:r>
          </w:p>
        </w:tc>
        <w:tc>
          <w:tcPr>
            <w:tcW w:w="2053" w:type="dxa"/>
            <w:tcBorders>
              <w:left w:val="thickThinSmallGap" w:sz="2" w:space="0" w:color="000000"/>
              <w:bottom w:val="thickThinSmallGap" w:sz="2" w:space="0" w:color="000000"/>
            </w:tcBorders>
            <w:shd w:fill="729FCF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TIPO DE VEÍCULO/ITEM</w:t>
            </w:r>
          </w:p>
        </w:tc>
        <w:tc>
          <w:tcPr>
            <w:tcW w:w="1944" w:type="dxa"/>
            <w:tcBorders>
              <w:left w:val="thickThinSmallGap" w:sz="2" w:space="0" w:color="000000"/>
              <w:bottom w:val="thickThinSmallGap" w:sz="2" w:space="0" w:color="000000"/>
            </w:tcBorders>
            <w:shd w:fill="729FCF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UNIDADE</w:t>
            </w:r>
          </w:p>
        </w:tc>
        <w:tc>
          <w:tcPr>
            <w:tcW w:w="2877" w:type="dxa"/>
            <w:vMerge w:val="continue"/>
            <w:tcBorders>
              <w:top w:val="thickThinSmallGap" w:sz="2" w:space="0" w:color="000000"/>
              <w:left w:val="thickThinSmallGap" w:sz="2" w:space="0" w:color="000000"/>
              <w:bottom w:val="thickThinSmallGap" w:sz="2" w:space="0" w:color="000000"/>
              <w:right w:val="thickThinSmallGap" w:sz="2" w:space="0" w:color="000000"/>
            </w:tcBorders>
            <w:shd w:fill="729FC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5" w:hRule="atLeast"/>
        </w:trPr>
        <w:tc>
          <w:tcPr>
            <w:tcW w:w="2379" w:type="dxa"/>
            <w:tcBorders>
              <w:left w:val="thickThinSmallGap" w:sz="2" w:space="0" w:color="000000"/>
              <w:bottom w:val="thickThinSmallGap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  <w:t>1</w:t>
            </w:r>
          </w:p>
        </w:tc>
        <w:tc>
          <w:tcPr>
            <w:tcW w:w="2053" w:type="dxa"/>
            <w:tcBorders>
              <w:left w:val="thickThinSmallGap" w:sz="2" w:space="0" w:color="000000"/>
              <w:bottom w:val="thickThinSmallGap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MERCEDES BENZ, SPRINTER 417,CDI 2025/2025  - AMBULÂNCIA</w:t>
            </w:r>
          </w:p>
        </w:tc>
        <w:tc>
          <w:tcPr>
            <w:tcW w:w="1944" w:type="dxa"/>
            <w:tcBorders>
              <w:left w:val="thickThinSmallGap" w:sz="2" w:space="0" w:color="000000"/>
              <w:bottom w:val="thickThinSmallGap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77" w:type="dxa"/>
            <w:tcBorders>
              <w:left w:val="thickThinSmallGap" w:sz="2" w:space="0" w:color="000000"/>
              <w:bottom w:val="thickThinSmallGap" w:sz="2" w:space="0" w:color="000000"/>
              <w:right w:val="thickThinSmallGap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R$86.363,04</w:t>
            </w:r>
          </w:p>
        </w:tc>
      </w:tr>
      <w:tr>
        <w:trPr>
          <w:trHeight w:val="852" w:hRule="atLeast"/>
        </w:trPr>
        <w:tc>
          <w:tcPr>
            <w:tcW w:w="2379" w:type="dxa"/>
            <w:tcBorders>
              <w:left w:val="thickThinSmallGap" w:sz="2" w:space="0" w:color="000000"/>
              <w:bottom w:val="thickThinSmallGap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2053" w:type="dxa"/>
            <w:tcBorders>
              <w:left w:val="thickThinSmallGap" w:sz="2" w:space="0" w:color="000000"/>
              <w:bottom w:val="thickThinSmallGap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MERCEDES BENZ SPRINTER 14M3 FURGÃO</w:t>
            </w:r>
          </w:p>
        </w:tc>
        <w:tc>
          <w:tcPr>
            <w:tcW w:w="1944" w:type="dxa"/>
            <w:tcBorders>
              <w:left w:val="thickThinSmallGap" w:sz="2" w:space="0" w:color="000000"/>
              <w:bottom w:val="thickThinSmallGap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77" w:type="dxa"/>
            <w:tcBorders>
              <w:left w:val="thickThinSmallGap" w:sz="2" w:space="0" w:color="000000"/>
              <w:bottom w:val="thickThinSmallGap" w:sz="2" w:space="0" w:color="000000"/>
              <w:right w:val="thickThinSmallGap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R$35.157,70</w:t>
            </w:r>
          </w:p>
        </w:tc>
      </w:tr>
      <w:tr>
        <w:trPr>
          <w:trHeight w:val="928" w:hRule="atLeast"/>
        </w:trPr>
        <w:tc>
          <w:tcPr>
            <w:tcW w:w="2379" w:type="dxa"/>
            <w:tcBorders>
              <w:left w:val="thickThinSmallGap" w:sz="2" w:space="0" w:color="000000"/>
              <w:bottom w:val="thickThinSmallGap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2053" w:type="dxa"/>
            <w:tcBorders>
              <w:left w:val="thickThinSmallGap" w:sz="2" w:space="0" w:color="000000"/>
              <w:bottom w:val="thickThinSmallGap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GM/CHEVROLET SPIN LTZ 1.8 7</w:t>
              <w:br/>
              <w:t>LUGARES</w:t>
            </w:r>
          </w:p>
        </w:tc>
        <w:tc>
          <w:tcPr>
            <w:tcW w:w="1944" w:type="dxa"/>
            <w:tcBorders>
              <w:left w:val="thickThinSmallGap" w:sz="2" w:space="0" w:color="000000"/>
              <w:bottom w:val="thickThinSmallGap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77" w:type="dxa"/>
            <w:tcBorders>
              <w:left w:val="thickThinSmallGap" w:sz="2" w:space="0" w:color="000000"/>
              <w:bottom w:val="thickThinSmallGap" w:sz="2" w:space="0" w:color="000000"/>
              <w:right w:val="thickThinSmallGap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R$3.685,33</w:t>
            </w:r>
          </w:p>
        </w:tc>
      </w:tr>
      <w:tr>
        <w:trPr>
          <w:trHeight w:val="514" w:hRule="atLeast"/>
        </w:trPr>
        <w:tc>
          <w:tcPr>
            <w:tcW w:w="6376" w:type="dxa"/>
            <w:gridSpan w:val="3"/>
            <w:tcBorders>
              <w:left w:val="thickThinSmallGap" w:sz="2" w:space="0" w:color="000000"/>
              <w:bottom w:val="thickThinSmallGap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Valor total</w:t>
            </w:r>
          </w:p>
        </w:tc>
        <w:tc>
          <w:tcPr>
            <w:tcW w:w="2877" w:type="dxa"/>
            <w:tcBorders>
              <w:left w:val="thickThinSmallGap" w:sz="2" w:space="0" w:color="000000"/>
              <w:bottom w:val="thickThinSmallGap" w:sz="2" w:space="0" w:color="000000"/>
              <w:right w:val="thickThinSmallGap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R$125.206,07</w:t>
            </w:r>
          </w:p>
        </w:tc>
      </w:tr>
    </w:tbl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BodyText"/>
        <w:spacing w:lineRule="auto" w:line="240"/>
        <w:jc w:val="both"/>
        <w:rPr/>
      </w:pPr>
      <w:r>
        <w:rPr>
          <w:rStyle w:val="Emphasis"/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eastAsia="pt-BR"/>
        </w:rPr>
        <w:t>Totalizando 11</w:t>
      </w: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shd w:fill="auto" w:val="clear"/>
          <w:lang w:eastAsia="pt-BR"/>
        </w:rPr>
        <w:t xml:space="preserve"> (ONZE) apólices</w:t>
      </w:r>
      <w:r>
        <w:rPr>
          <w:rStyle w:val="Emphasis"/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eastAsia="pt-BR"/>
        </w:rPr>
        <w:t xml:space="preserve"> de seguro, com vigência anual mínima de 12 meses, podendo ser renovada conforme interesse e desempenho da contratada.</w:t>
      </w:r>
    </w:p>
    <w:p>
      <w:pPr>
        <w:pStyle w:val="Heading4"/>
        <w:spacing w:before="0" w:after="283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bCs/>
          <w:color w:val="000000"/>
          <w:sz w:val="24"/>
          <w:szCs w:val="24"/>
        </w:rPr>
        <w:t>Especificação Técnica dos Itens a Serem Contratados</w:t>
      </w:r>
    </w:p>
    <w:p>
      <w:pPr>
        <w:pStyle w:val="BodyText"/>
        <w:suppressAutoHyphens w:val="true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Para cada lote, deverão ser atendidas as seguintes especificações técnicas mínimas, garantindo cobertura ampla e adequada para o consórcio:</w:t>
      </w:r>
    </w:p>
    <w:p>
      <w:pPr>
        <w:pStyle w:val="Heading5"/>
        <w:spacing w:before="0" w:after="283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 xml:space="preserve">Lote 1 – Ambulâncias 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Cobertura compreensiva para danos causados por colisão, incêndio, explosão, queda de raio, alagamento, tempestades, vendaval, granizo e outros eventos da natureza.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Cobertura contra roubo e furto total ou parcial.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Responsabilidade civil facultativa de veículos (RCF-V) para danos a terceiros (materiais, corporais e morais).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Assistência 24 horas para os veículos segurados, incluindo socorro mecânico, reboque e chaveiro.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Franquia compatível com o valor do veículo e perfil da frota.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Apólice anual, com possibilidade de renovação e reajuste conforme índices oficiais.</w:t>
      </w:r>
    </w:p>
    <w:p>
      <w:pPr>
        <w:pStyle w:val="Heading5"/>
        <w:spacing w:before="0" w:after="283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Lote 2 – Furgões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Cobertura compreensiva para os riscos mencionados no lote 1, adaptada ao perfil do veículo.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Responsabilidade civil facultativa (RCF-V).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Assistência 24 horas.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Condições de franquia e vigência similares ao lote 1.</w:t>
      </w:r>
    </w:p>
    <w:p>
      <w:pPr>
        <w:pStyle w:val="Heading5"/>
        <w:spacing w:before="0" w:after="283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Lote 3 – Veículo Administrativo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Cobertura compreensiva básica, incluindo colisão, incêndio, roubo/furto e danos da natureza.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Responsabilidade civil facultativa (RCF-V).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Assistência 24 horas.</w:t>
      </w:r>
    </w:p>
    <w:p>
      <w:pPr>
        <w:pStyle w:val="Heading4"/>
        <w:spacing w:before="0" w:after="283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Observações Gerais</w:t>
      </w:r>
    </w:p>
    <w:p>
      <w:pPr>
        <w:pStyle w:val="BodyText"/>
        <w:numPr>
          <w:ilvl w:val="0"/>
          <w:numId w:val="9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Todas as apólices deverão incluir cláusula de garantia para atendimento imediato em caso de sinistro.</w:t>
      </w:r>
    </w:p>
    <w:p>
      <w:pPr>
        <w:pStyle w:val="BodyText"/>
        <w:numPr>
          <w:ilvl w:val="0"/>
          <w:numId w:val="9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A seguradora deverá apresentar relatórios periódicos sobre a situação da frota segurada, sinistros e indenizações pagas.</w:t>
      </w:r>
    </w:p>
    <w:p>
      <w:pPr>
        <w:pStyle w:val="BodyText"/>
        <w:numPr>
          <w:ilvl w:val="0"/>
          <w:numId w:val="9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O valor segurado para cada veículo e equipamento será baseado em tabela FIPE atualizada e/ou valor patrimonial declarado conforme nota fiscal.</w:t>
      </w:r>
    </w:p>
    <w:p>
      <w:pPr>
        <w:pStyle w:val="BodyText"/>
        <w:numPr>
          <w:ilvl w:val="0"/>
          <w:numId w:val="9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</w:rPr>
        <w:t>A contratada deverá garantir suporte técnico e atendimento ágil para os serviços contratados.</w:t>
      </w:r>
    </w:p>
    <w:p>
      <w:pPr>
        <w:pStyle w:val="BodyText"/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>
          <w:rFonts w:ascii="Arial" w:hAnsi="Arial" w:eastAsia="Arial" w:cs="Arial"/>
          <w:color w:val="000000"/>
          <w:kern w:val="0"/>
          <w:sz w:val="24"/>
          <w:szCs w:val="24"/>
          <w:highlight w:val="none"/>
          <w:shd w:fill="FFD320" w:val="clear"/>
          <w:lang w:eastAsia="pt-BR"/>
        </w:rPr>
      </w:pPr>
      <w:r>
        <w:rPr>
          <w:rFonts w:eastAsia="Arial" w:cs="Arial" w:ascii="Arial" w:hAnsi="Arial"/>
          <w:color w:val="000000"/>
          <w:kern w:val="0"/>
          <w:sz w:val="24"/>
          <w:szCs w:val="24"/>
          <w:shd w:fill="FFD320" w:val="clear"/>
          <w:lang w:eastAsia="pt-BR"/>
        </w:rPr>
      </w:r>
    </w:p>
    <w:tbl>
      <w:tblPr>
        <w:tblW w:w="8385" w:type="dxa"/>
        <w:jc w:val="left"/>
        <w:tblInd w:w="1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385"/>
      </w:tblGrid>
      <w:tr>
        <w:trPr/>
        <w:tc>
          <w:tcPr>
            <w:tcW w:w="8385" w:type="dxa"/>
            <w:tcBorders/>
            <w:shd w:color="auto" w:fill="CCCCCC" w:val="clear"/>
          </w:tcPr>
          <w:p>
            <w:pPr>
              <w:pStyle w:val="Normal"/>
              <w:widowControl/>
              <w:shd w:val="clear" w:color="auto" w:fill="BFBFBF"/>
              <w:suppressAutoHyphens w:val="true"/>
              <w:bidi w:val="0"/>
              <w:spacing w:lineRule="auto" w:line="240" w:before="0" w:after="0"/>
              <w:ind w:hanging="0" w:left="-113" w:right="113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sz w:val="24"/>
                <w:szCs w:val="24"/>
              </w:rPr>
              <w:t>8 - Justificativa para o Parcelamento ou não da Solução</w:t>
            </w:r>
          </w:p>
        </w:tc>
      </w:tr>
    </w:tbl>
    <w:p>
      <w:pPr>
        <w:pStyle w:val="Normal"/>
        <w:spacing w:lineRule="auto" w:line="240"/>
        <w:jc w:val="both"/>
        <w:rPr>
          <w:rFonts w:ascii="Arial" w:hAnsi="Arial" w:eastAsia="Arial" w:cs="Arial"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</w:r>
    </w:p>
    <w:p>
      <w:pPr>
        <w:pStyle w:val="Normal"/>
        <w:jc w:val="both"/>
        <w:rPr/>
      </w:pPr>
      <w:r>
        <w:rPr>
          <w:rFonts w:ascii="Arial" w:hAnsi="Arial"/>
          <w:b/>
          <w:bCs/>
          <w:sz w:val="24"/>
          <w:szCs w:val="24"/>
        </w:rPr>
        <w:t xml:space="preserve">8.1 </w:t>
      </w:r>
      <w:r>
        <w:rPr>
          <w:rFonts w:ascii="Arial" w:hAnsi="Arial"/>
          <w:sz w:val="24"/>
          <w:szCs w:val="24"/>
        </w:rPr>
        <w:t xml:space="preserve">– 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Após análise da natureza da contratação e da homogeneidade dos objetos envolvidos, </w:t>
      </w: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conclui-se que não é recomendável o parcelamento da solução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Apesar de a frota estar dividida entre diferentes tipos de veículos (ambulâncias, furgões e veículo administrativo), trata-se de um </w:t>
      </w: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objeto único e indivisível do ponto de vista técnico e funcional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, pois todos os itens têm como objetivo comum a proteção patrimonial e a continuidade dos serviços públicos prestados pelo Consórcio.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O </w:t>
      </w: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seguro veicular total (compreensivo)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, configura-se como uma </w:t>
      </w: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solução integrada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, cuja eficiência depende da contratação unificada, preferencialmente com uma única seguradora, a fim de: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Garantir padronização nas apólices e coberturas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Facilitar a gestão contratual, fiscalização e controle de sinistros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Reduzir custos operacionais e administrativos com múltiplas contratações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Obter melhores condições comerciais e técnicas por meio da escala do contrato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Além disso, a contratação fracionada poderia gerar </w:t>
      </w: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riscos de descontinuidade da cobertura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, discrepâncias entre cláusulas e prazos, além de comprometer a economicidade do certame.</w:t>
      </w:r>
    </w:p>
    <w:p>
      <w:pPr>
        <w:pStyle w:val="BodyText"/>
        <w:suppressAutoHyphens w:val="true"/>
        <w:spacing w:lineRule="auto" w:line="240"/>
        <w:jc w:val="both"/>
        <w:rPr/>
      </w:pP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Dessa forma, </w:t>
      </w: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a solução será contratada de forma não parcelada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, mas dividida em </w:t>
      </w: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lotes técnicos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 conforme os diferentes perfis da frota (ambulâncias, furgões e veículo administrativo), </w:t>
      </w: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mantendo a unicidade do objeto e viabilizando ampla competitividade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 no processo licitatório.</w:t>
      </w:r>
    </w:p>
    <w:p>
      <w:pPr>
        <w:pStyle w:val="Normal"/>
        <w:jc w:val="both"/>
        <w:rPr>
          <w:rFonts w:ascii="Arial" w:hAnsi="Arial" w:eastAsia="Arial" w:cs="Arial"/>
          <w:strike/>
          <w:sz w:val="24"/>
          <w:szCs w:val="24"/>
        </w:rPr>
      </w:pPr>
      <w:r>
        <w:rPr>
          <w:rFonts w:eastAsia="Arial" w:cs="Arial" w:ascii="Arial" w:hAnsi="Arial"/>
          <w:strike/>
          <w:sz w:val="24"/>
          <w:szCs w:val="24"/>
        </w:rPr>
      </w:r>
    </w:p>
    <w:p>
      <w:pPr>
        <w:pStyle w:val="Normal"/>
        <w:shd w:val="clear" w:color="auto" w:fill="BFBFBF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  <w:t>9 - Requisitos da Contratação</w:t>
      </w:r>
    </w:p>
    <w:p>
      <w:pPr>
        <w:pStyle w:val="BodyText"/>
        <w:widowControl/>
        <w:numPr>
          <w:ilvl w:val="0"/>
          <w:numId w:val="0"/>
        </w:numPr>
        <w:suppressAutoHyphens w:val="true"/>
        <w:bidi w:val="0"/>
        <w:spacing w:lineRule="auto" w:line="240" w:before="0" w:after="140"/>
        <w:ind w:hanging="0" w:left="0" w:right="0"/>
        <w:jc w:val="both"/>
        <w:textAlignment w:val="auto"/>
        <w:rPr>
          <w:rFonts w:ascii="Arial" w:hAnsi="Arial" w:eastAsia="Arial" w:cs="Arial"/>
          <w:color w:val="auto"/>
          <w:kern w:val="2"/>
          <w:sz w:val="24"/>
          <w:szCs w:val="24"/>
          <w:lang w:val="pt-BR" w:eastAsia="en-US" w:bidi="ar-SA"/>
          <w14:ligatures w14:val="standardContextual"/>
        </w:rPr>
      </w:pPr>
      <w:r>
        <w:rPr>
          <w:rFonts w:eastAsia="Arial" w:cs="Arial" w:ascii="Arial" w:hAnsi="Arial"/>
          <w:color w:val="auto"/>
          <w:kern w:val="2"/>
          <w:sz w:val="24"/>
          <w:szCs w:val="24"/>
          <w:lang w:val="pt-BR" w:eastAsia="en-US" w:bidi="ar-SA"/>
          <w14:ligatures w14:val="standardContextual"/>
        </w:rPr>
      </w:r>
    </w:p>
    <w:p>
      <w:pPr>
        <w:pStyle w:val="BodyText"/>
        <w:widowControl/>
        <w:numPr>
          <w:ilvl w:val="0"/>
          <w:numId w:val="0"/>
        </w:numPr>
        <w:suppressAutoHyphens w:val="true"/>
        <w:bidi w:val="0"/>
        <w:spacing w:lineRule="auto" w:line="240" w:before="0" w:after="140"/>
        <w:ind w:hanging="0" w:left="0" w:right="0"/>
        <w:jc w:val="both"/>
        <w:textAlignment w:val="auto"/>
        <w:rPr/>
      </w:pPr>
      <w:r>
        <w:rPr>
          <w:rStyle w:val="Strong"/>
          <w:rFonts w:eastAsia="Arial" w:cs="Arial" w:ascii="Arial" w:hAnsi="Arial"/>
          <w:color w:val="auto"/>
          <w:kern w:val="2"/>
          <w:sz w:val="24"/>
          <w:szCs w:val="24"/>
          <w:lang w:val="pt-BR" w:eastAsia="en-US" w:bidi="ar-SA"/>
          <w14:ligatures w14:val="standardContextual"/>
        </w:rPr>
        <w:t>9.1. Para garantir a plena execução do objeto, a presente contratação deverá observar os seguintes requisitos mínimos:</w:t>
      </w:r>
    </w:p>
    <w:p>
      <w:pPr>
        <w:pStyle w:val="Heading4"/>
        <w:suppressAutoHyphens w:val="true"/>
        <w:spacing w:before="0" w:after="1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kern w:val="2"/>
          <w:sz w:val="24"/>
          <w:szCs w:val="24"/>
          <w:lang w:eastAsia="en-US"/>
          <w14:ligatures w14:val="standardContextual"/>
        </w:rPr>
        <w:t xml:space="preserve"> </w:t>
      </w:r>
      <w:r>
        <w:rPr>
          <w:rFonts w:eastAsia="Arial" w:cs="Arial" w:ascii="Arial" w:hAnsi="Arial"/>
          <w:color w:val="auto"/>
          <w:kern w:val="2"/>
          <w:sz w:val="24"/>
          <w:szCs w:val="24"/>
          <w:lang w:eastAsia="en-US"/>
          <w14:ligatures w14:val="standardContextual"/>
        </w:rPr>
        <w:t>Requisitos Técnicos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A empresa contratada deverá estar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devidamente registrada e autorizada pela SUSEP</w:t>
      </w: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 (Superintendência de Seguros Privados) para comercializar seguros automotivos no Brasil;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Apresentar apólices com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cobertura compreensiva total</w:t>
      </w:r>
      <w:r>
        <w:rPr>
          <w:rFonts w:eastAsia="Arial" w:cs="Arial" w:ascii="Arial" w:hAnsi="Arial"/>
          <w:sz w:val="24"/>
          <w:szCs w:val="24"/>
          <w14:ligatures w14:val="standardContextual"/>
        </w:rPr>
        <w:t>, incluindo: colisão, roubo/furto, incêndio, danos da natureza e outros eventos previstos na legislação e normas vigentes;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As apólices deverão incluir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Responsabilidade Civil Facultativa (RCF-V)</w:t>
      </w: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Os valores de cobertura deverão ser baseados na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Tabela FIPE</w:t>
      </w: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 atualizada ou conforme valor de reposição dos equipamentos, com cláusula de atualização;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Deverá ser oferecida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assistência 24 horas nacional</w:t>
      </w: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 com cobertura para reboque, pane mecânica/elétrica, chaveiro, troca de pneu, entre outros;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A contratada deverá garantir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canal de atendimento direto ao CISURG</w:t>
      </w:r>
      <w:r>
        <w:rPr>
          <w:rFonts w:eastAsia="Arial" w:cs="Arial" w:ascii="Arial" w:hAnsi="Arial"/>
          <w:sz w:val="24"/>
          <w:szCs w:val="24"/>
          <w14:ligatures w14:val="standardContextual"/>
        </w:rPr>
        <w:t>, com suporte técnico e operacional para abertura de sinistros, emissão de documentos e acompanhamento de processos indenizatórios.</w:t>
      </w:r>
    </w:p>
    <w:p>
      <w:pPr>
        <w:pStyle w:val="Heading4"/>
        <w:suppressAutoHyphens w:val="true"/>
        <w:spacing w:before="0" w:after="1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kern w:val="2"/>
          <w:sz w:val="24"/>
          <w:szCs w:val="24"/>
          <w:lang w:eastAsia="en-US"/>
          <w14:ligatures w14:val="standardContextual"/>
        </w:rPr>
        <w:t xml:space="preserve"> </w:t>
      </w:r>
      <w:r>
        <w:rPr>
          <w:rFonts w:eastAsia="Arial" w:cs="Arial" w:ascii="Arial" w:hAnsi="Arial"/>
          <w:color w:val="auto"/>
          <w:kern w:val="2"/>
          <w:sz w:val="24"/>
          <w:szCs w:val="24"/>
          <w:lang w:eastAsia="en-US"/>
          <w14:ligatures w14:val="standardContextual"/>
        </w:rPr>
        <w:t>Requisitos Administrativos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A proposta deverá incluir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todas as condições, franquias, valores e abrangência das coberturas</w:t>
      </w:r>
      <w:r>
        <w:rPr>
          <w:rFonts w:eastAsia="Arial" w:cs="Arial" w:ascii="Arial" w:hAnsi="Arial"/>
          <w:sz w:val="24"/>
          <w:szCs w:val="24"/>
          <w14:ligatures w14:val="standardContextual"/>
        </w:rPr>
        <w:t>;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  <w14:ligatures w14:val="standardContextual"/>
        </w:rPr>
        <w:t>Apresentar comprovação da regularidade fiscal, trabalhista e jurídica da empresa;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Assegurar a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vigência mínima de 12 (doze) meses</w:t>
      </w:r>
      <w:r>
        <w:rPr>
          <w:rFonts w:eastAsia="Arial" w:cs="Arial" w:ascii="Arial" w:hAnsi="Arial"/>
          <w:sz w:val="24"/>
          <w:szCs w:val="24"/>
          <w14:ligatures w14:val="standardContextual"/>
        </w:rPr>
        <w:t>, com possibilidade de renovação conforme interesse público;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A seguradora deverá apresentar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relatórios periódicos de acompanhamento</w:t>
      </w: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 dos seguros, sinistros e status da frota;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A empresa vencedora deverá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manter representante ou canal de atendimento disponível durante toda a vigência do contrato</w:t>
      </w:r>
      <w:r>
        <w:rPr>
          <w:rFonts w:eastAsia="Arial" w:cs="Arial" w:ascii="Arial" w:hAnsi="Arial"/>
          <w:sz w:val="24"/>
          <w:szCs w:val="24"/>
          <w14:ligatures w14:val="standardContextual"/>
        </w:rPr>
        <w:t>;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  <w14:ligatures w14:val="standardContextual"/>
        </w:rPr>
        <w:t>Em caso de sinistro com perda total ou furto/roubo não recuperado, a indenização deverá ser processada no prazo máximo legal, sem prejuízo da celeridade exigida pelo interesse público.</w:t>
      </w:r>
    </w:p>
    <w:p>
      <w:pPr>
        <w:pStyle w:val="Heading4"/>
        <w:suppressAutoHyphens w:val="true"/>
        <w:spacing w:before="0" w:after="1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kern w:val="2"/>
          <w:sz w:val="24"/>
          <w:szCs w:val="24"/>
          <w:lang w:eastAsia="en-US"/>
          <w14:ligatures w14:val="standardContextual"/>
        </w:rPr>
        <w:t xml:space="preserve"> </w:t>
      </w:r>
      <w:r>
        <w:rPr>
          <w:rFonts w:eastAsia="Arial" w:cs="Arial" w:ascii="Arial" w:hAnsi="Arial"/>
          <w:color w:val="auto"/>
          <w:kern w:val="2"/>
          <w:sz w:val="24"/>
          <w:szCs w:val="24"/>
          <w:lang w:eastAsia="en-US"/>
          <w14:ligatures w14:val="standardContextual"/>
        </w:rPr>
        <w:t>Requisitos de Conformidade com a Administração Pública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A empresa contratada deverá cumprir integralmente os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princípios da legalidade, eficiência, economicidade e transparência</w:t>
      </w:r>
      <w:r>
        <w:rPr>
          <w:rFonts w:eastAsia="Arial" w:cs="Arial" w:ascii="Arial" w:hAnsi="Arial"/>
          <w:sz w:val="24"/>
          <w:szCs w:val="24"/>
          <w14:ligatures w14:val="standardContextual"/>
        </w:rPr>
        <w:t>;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Estar apta a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firmar contratos com a Administração Pública</w:t>
      </w:r>
      <w:r>
        <w:rPr>
          <w:rFonts w:eastAsia="Arial" w:cs="Arial" w:ascii="Arial" w:hAnsi="Arial"/>
          <w:sz w:val="24"/>
          <w:szCs w:val="24"/>
          <w14:ligatures w14:val="standardContextual"/>
        </w:rPr>
        <w:t>, atendendo às exigências da Lei nº 14.133/2021 (ou legislação aplicável vigente);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Garantir que não haja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cláusulas abusivas ou omissas</w:t>
      </w: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 nas apólices apresentadas;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</w:tabs>
        <w:spacing w:lineRule="auto" w:line="240"/>
        <w:ind w:hanging="283" w:left="709"/>
        <w:jc w:val="both"/>
        <w:rPr/>
      </w:pPr>
      <w:r>
        <w:rPr>
          <w:rFonts w:eastAsia="Arial" w:cs="Arial" w:ascii="Arial" w:hAnsi="Arial"/>
          <w:sz w:val="24"/>
          <w:szCs w:val="24"/>
          <w14:ligatures w14:val="standardContextual"/>
        </w:rPr>
        <w:t xml:space="preserve">A contratação deverá ser compatível com as </w:t>
      </w:r>
      <w:r>
        <w:rPr>
          <w:rStyle w:val="Strong"/>
          <w:rFonts w:eastAsia="Arial" w:cs="Arial" w:ascii="Arial" w:hAnsi="Arial"/>
          <w:sz w:val="24"/>
          <w:szCs w:val="24"/>
          <w14:ligatures w14:val="standardContextual"/>
        </w:rPr>
        <w:t>normas de seguros públicas e regulatórias</w:t>
      </w:r>
      <w:r>
        <w:rPr>
          <w:rFonts w:eastAsia="Arial" w:cs="Arial" w:ascii="Arial" w:hAnsi="Arial"/>
          <w:sz w:val="24"/>
          <w:szCs w:val="24"/>
          <w14:ligatures w14:val="standardContextual"/>
        </w:rPr>
        <w:t>, inclusive em relação à cobertura dos bens públicos.</w:t>
      </w:r>
    </w:p>
    <w:p>
      <w:pPr>
        <w:pStyle w:val="BodyText"/>
        <w:widowControl/>
        <w:numPr>
          <w:ilvl w:val="0"/>
          <w:numId w:val="0"/>
        </w:numPr>
        <w:suppressAutoHyphens w:val="true"/>
        <w:bidi w:val="0"/>
        <w:spacing w:lineRule="auto" w:line="240" w:before="0" w:after="140"/>
        <w:ind w:hanging="0" w:left="0" w:right="0"/>
        <w:jc w:val="both"/>
        <w:textAlignment w:val="auto"/>
        <w:rPr>
          <w:rFonts w:ascii="Arial" w:hAnsi="Arial" w:eastAsia="Arial" w:cs="Arial"/>
          <w:color w:val="auto"/>
          <w:kern w:val="2"/>
          <w:sz w:val="24"/>
          <w:szCs w:val="24"/>
          <w:lang w:val="pt-BR" w:eastAsia="en-US" w:bidi="ar-SA"/>
          <w14:ligatures w14:val="standardContextual"/>
        </w:rPr>
      </w:pPr>
      <w:r>
        <w:rPr>
          <w:rFonts w:eastAsia="Arial" w:cs="Arial" w:ascii="Arial" w:hAnsi="Arial"/>
          <w:color w:val="auto"/>
          <w:kern w:val="2"/>
          <w:sz w:val="24"/>
          <w:szCs w:val="24"/>
          <w:lang w:val="pt-BR" w:eastAsia="en-US" w:bidi="ar-SA"/>
          <w14:ligatures w14:val="standardContextual"/>
        </w:rPr>
      </w:r>
    </w:p>
    <w:p>
      <w:pPr>
        <w:pStyle w:val="Normal"/>
        <w:shd w:val="clear" w:color="auto" w:fill="BFBFBF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  <w:t>10 – Análise de Risco</w:t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tbl>
      <w:tblPr>
        <w:tblW w:w="847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7"/>
        <w:gridCol w:w="3118"/>
        <w:gridCol w:w="2001"/>
        <w:gridCol w:w="2728"/>
      </w:tblGrid>
      <w:tr>
        <w:trPr>
          <w:trHeight w:val="470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N°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Descrição do risco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Impacto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Ações de mitigação</w:t>
            </w:r>
          </w:p>
        </w:tc>
      </w:tr>
      <w:tr>
        <w:trPr>
          <w:trHeight w:val="1470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Escolha de fornecedor sem capacidade técnica para atender o objeto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color w:val="auto"/>
                <w:sz w:val="24"/>
                <w:szCs w:val="24"/>
              </w:rPr>
              <w:t>Médio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Exigir documentação comprobatória: registro na SUSEP, atestados técnicos e proposta detalhada.</w:t>
            </w:r>
          </w:p>
        </w:tc>
      </w:tr>
      <w:tr>
        <w:trPr>
          <w:trHeight w:val="1460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Apólice emitida com coberturas insuficientes ou divergentes do previsto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Alto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Análise técnica prévia da proposta e validação do Termo de Referência; fiscalização ativa.</w:t>
            </w:r>
          </w:p>
        </w:tc>
      </w:tr>
      <w:tr>
        <w:trPr/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Atraso na emissão das apólices após assinatura do contrato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Médio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Estabelecer prazo contratual com penalidade; acompanhamento pela unidade responsável.</w:t>
            </w:r>
          </w:p>
        </w:tc>
      </w:tr>
      <w:tr>
        <w:trPr/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Dificuldade de atendimento da seguradora em caso de sinistro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Médio</w:t>
            </w:r>
          </w:p>
        </w:tc>
        <w:tc>
          <w:tcPr>
            <w:tcW w:w="2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Exigir assistência 24h com canais ativos e rede credenciada ampla; registrar canais de contato.</w:t>
            </w:r>
          </w:p>
        </w:tc>
      </w:tr>
      <w:tr>
        <w:trPr/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Sinistro sem cobertura em função da atividade específica do veículo (ambulância)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Alto</w:t>
            </w:r>
          </w:p>
        </w:tc>
        <w:tc>
          <w:tcPr>
            <w:tcW w:w="2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Exigir cláusula expressa de cobertura para veículos em serviço de emergência.</w:t>
            </w:r>
          </w:p>
        </w:tc>
      </w:tr>
      <w:tr>
        <w:trPr/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Perda da vigência da apólice sem renovação em tempo hábil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Médio</w:t>
            </w:r>
          </w:p>
        </w:tc>
        <w:tc>
          <w:tcPr>
            <w:tcW w:w="2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Controle interno de datas de vigência; notificação antecipada para renovação.</w:t>
            </w:r>
          </w:p>
        </w:tc>
      </w:tr>
      <w:tr>
        <w:trPr/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Contratação ser questionada por ausência de concorrência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spacing w:lineRule="auto" w:line="240" w:before="0" w:after="0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Baixo</w:t>
            </w:r>
          </w:p>
        </w:tc>
        <w:tc>
          <w:tcPr>
            <w:tcW w:w="2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z w:val="24"/>
                <w:szCs w:val="24"/>
              </w:rPr>
              <w:t>Justificar a inexigibilidade com levantamento de mercado detalhado e parecer jurídico.</w:t>
            </w:r>
          </w:p>
        </w:tc>
      </w:tr>
    </w:tbl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hd w:val="clear" w:color="auto" w:fill="BFBFBF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11 –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Providências a serem adotadas</w:t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11.1 – 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Com base nas análises realizadas neste Estudo Técnico Preliminar, foram identificadas as seguintes providências necessárias para a viabilização da contratação dos serviços de seguro total para a frota do CISURG Médio Piracicaba, incluindo os equipamentos médico-hospitalares embarcados nas ambulâncias: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Elaboração do Termo de Referência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, com base nos elementos definidos neste estudo, contendo a descrição detalhada do objeto, especificações técnicas, obrigações da contratada, critérios de julgamento e demais exigências.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Definição do modelo de licitação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, sendo o </w:t>
      </w: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Pregão Eletrônico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 a modalidade indicada, por permitir maior competitividade, transparência, agilidade e economicidade.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Agrupamento do objeto em lotes distintos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, conforme tipologia dos veículos (ambulâncias, furgões e veículo administrativo), preservando a unicidade do objeto e garantindo ampla participação de fornecedores.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Consulta formal ao mercado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, por meio de solicitação de propostas ou orçamentos junto a seguradoras e corretoras autorizadas, a fim de aferir valores atualizados e subsidiar a formação da estimativa de preços.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Solicitação de manifestação jurídica da Assessoria Jurídica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, quanto à legalidade da minuta do edital e do contrato, conforme previsto na legislação vigente (Lei nº 14.133/2021).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Reserva orçamentária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, mediante empenho específico, para garantir a cobertura financeira dos custos decorrentes da contratação, observando os limites orçamentários do consórcio.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Inclusão da contratação no Plano Anual de Contratações (PAC)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, com base no alinhamento estratégico e na necessidade de garantir a continuidade dos serviços de urgência e emergência prestados pelo CISURGMP.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</w:tabs>
        <w:suppressAutoHyphens w:val="true"/>
        <w:spacing w:lineRule="auto" w:line="240"/>
        <w:ind w:hanging="283" w:left="709"/>
        <w:jc w:val="both"/>
        <w:rPr/>
      </w:pPr>
      <w:r>
        <w:rPr>
          <w:rStyle w:val="Strong"/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Abertura do processo licitatório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eastAsia="pt-BR"/>
          <w14:ligatures w14:val="none"/>
        </w:rPr>
        <w:t>, após cumpridas todas as etapas preparatórias, com ampla divulgação em meios oficiais e observância dos prazos legais.</w:t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hd w:val="clear" w:color="auto" w:fill="BFBFBF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  <w:t>12 – Declaração de viabilidade</w:t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/>
      </w:pPr>
      <w:r>
        <w:rPr>
          <w:rFonts w:eastAsia="Arial" w:cs="Arial" w:ascii="Arial" w:hAnsi="Arial"/>
          <w:b/>
          <w:bCs/>
          <w:sz w:val="24"/>
          <w:szCs w:val="24"/>
        </w:rPr>
        <w:t>12.1 -</w:t>
      </w:r>
      <w:r>
        <w:rPr>
          <w:rFonts w:eastAsia="Arial" w:cs="Arial" w:ascii="Arial" w:hAnsi="Arial"/>
          <w:sz w:val="24"/>
          <w:szCs w:val="24"/>
        </w:rPr>
        <w:t xml:space="preserve"> 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Após a análise técnica, econômica e legal das alternativas possíveis para atender à demanda de contratação de seguros totais para 08 (oito) ambulâncias, 02 (dois) furgões e 01 (um) veículo administrativo, </w:t>
      </w: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declara-se viável a execução da contratação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 por meio de </w:t>
      </w: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Pregão Eletrônico, com adjudicação por lote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, conforme as diretrizes estabelecidas neste Estudo Técnico Preliminar. A solução proposta demonstra-se tecnicamente adequada, economicamente justificável e juridicamente possível, considerando os princípios da legalidade, eficiência, transparência, competitividade e economicidade que regem as contratações públicas. Dessa forma, esta contratação apresenta </w:t>
      </w:r>
      <w:r>
        <w:rPr>
          <w:rStyle w:val="Strong"/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viabilidade técnica, orçamentária e operacional</w:t>
      </w:r>
      <w:r>
        <w:rPr>
          <w:rFonts w:eastAsia="Arial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, e está alinhada com os objetivos estratégicos do Consórcio Público Intermunicipal de Saúde para Gerenciamento dos Serviços de Urgência e Emergência do Médio Piracicaba – CISURGMP, especialmente no tocante à garantia da continuidade dos serviços de saúde pública, à proteção do patrimônio público e à mitigação de riscos operacionais.</w:t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  <w:bookmarkStart w:id="0" w:name="_heading=h.30j0zll"/>
      <w:bookmarkStart w:id="1" w:name="_heading=h.30j0zll"/>
      <w:bookmarkEnd w:id="1"/>
    </w:p>
    <w:p>
      <w:pPr>
        <w:pStyle w:val="Normal"/>
        <w:spacing w:lineRule="auto" w:line="240"/>
        <w:jc w:val="right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Itabira, 08 de agosto de 2025.</w:t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Arial" w:hAnsi="Arial"/>
          <w:sz w:val="24"/>
          <w:szCs w:val="24"/>
        </w:rPr>
      </w:pPr>
      <w:r>
        <w:rPr>
          <w:rFonts w:eastAsia="Arial" w:cs="Calibri" w:ascii="Arial" w:hAnsi="Arial"/>
          <w:b/>
          <w:bCs/>
          <w:sz w:val="24"/>
          <w:szCs w:val="24"/>
        </w:rPr>
        <w:t>Gisela Fonseca Mafra de Menezes</w:t>
      </w:r>
    </w:p>
    <w:p>
      <w:pPr>
        <w:pStyle w:val="Normal"/>
        <w:spacing w:lineRule="auto" w:line="240"/>
        <w:jc w:val="center"/>
        <w:rPr>
          <w:rFonts w:ascii="Arial" w:hAnsi="Arial"/>
          <w:sz w:val="24"/>
          <w:szCs w:val="24"/>
        </w:rPr>
      </w:pPr>
      <w:r>
        <w:rPr>
          <w:rFonts w:eastAsia="Arial" w:cs="Calibri" w:ascii="Arial" w:hAnsi="Arial"/>
          <w:b/>
          <w:bCs/>
          <w:sz w:val="24"/>
          <w:szCs w:val="24"/>
        </w:rPr>
        <w:t>Gestor de Estudo Técnico Preliminar</w:t>
      </w:r>
    </w:p>
    <w:p>
      <w:pPr>
        <w:pStyle w:val="Normal"/>
        <w:spacing w:lineRule="auto" w:line="240"/>
        <w:jc w:val="center"/>
        <w:rPr/>
      </w:pPr>
      <w:r>
        <w:rPr>
          <w:rStyle w:val="Fontepargpadro"/>
          <w:rFonts w:eastAsia="Liberation Serif" w:cs="Calibri" w:ascii="Arial" w:hAnsi="Arial"/>
          <w:b/>
          <w:sz w:val="24"/>
          <w:szCs w:val="24"/>
        </w:rPr>
        <w:t xml:space="preserve">Consórcio Intermunicipal de Saúde para Gerenciamento dos Serviços de Urgência e Emergência do Médio Piracicaba – </w:t>
      </w:r>
      <w:r>
        <w:rPr>
          <w:rStyle w:val="Fontepargpadro"/>
          <w:rFonts w:eastAsia="Liberation Serif" w:cs="Arial" w:ascii="Arial" w:hAnsi="Arial"/>
          <w:b/>
          <w:sz w:val="24"/>
          <w:szCs w:val="24"/>
        </w:rPr>
        <w:t>CISURGMP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816" w:right="1701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720090" cy="720090"/>
          <wp:effectExtent l="0" t="0" r="0" b="0"/>
          <wp:docPr id="1" name="Figura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8" t="-38" r="-38" b="-38"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720090" cy="720090"/>
          <wp:effectExtent l="0" t="0" r="0" b="0"/>
          <wp:docPr id="2" name="Figura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8" t="-38" r="-38" b="-38"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f342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pt-BR" w:eastAsia="pt-BR" w:bidi="ar-SA"/>
      <w14:ligatures w14:val="none"/>
    </w:rPr>
  </w:style>
  <w:style w:type="paragraph" w:styleId="Heading1">
    <w:name w:val="Heading 1"/>
    <w:basedOn w:val="Normal"/>
    <w:next w:val="Normal"/>
    <w:link w:val="Ttulo1Char"/>
    <w:uiPriority w:val="9"/>
    <w:qFormat/>
    <w:rsid w:val="006f3426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6f3426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6f3426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6f3426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6f3426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6f3426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6f3426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6f3426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6f3426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6f3426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6f3426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6f3426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6f3426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6f3426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6f3426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6f3426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6f3426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6f3426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6f3426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6f3426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6f3426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6f3426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6f3426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6f3426"/>
    <w:rPr>
      <w:b/>
      <w:bCs/>
      <w:smallCaps/>
      <w:color w:themeColor="accent1" w:themeShade="bf" w:val="2F5496"/>
      <w:spacing w:val="5"/>
    </w:rPr>
  </w:style>
  <w:style w:type="character" w:styleId="Fontepargpadro1" w:customStyle="1">
    <w:name w:val="Fonte parág. padrão1"/>
    <w:qFormat/>
    <w:rsid w:val="006f3426"/>
    <w:rPr/>
  </w:style>
  <w:style w:type="character" w:styleId="Emphasis">
    <w:name w:val="Emphasis"/>
    <w:qFormat/>
    <w:rsid w:val="006f3426"/>
    <w:rPr>
      <w:i/>
      <w:iCs/>
    </w:rPr>
  </w:style>
  <w:style w:type="character" w:styleId="CorpodetextoChar" w:customStyle="1">
    <w:name w:val="Corpo de texto Char"/>
    <w:basedOn w:val="DefaultParagraphFont"/>
    <w:qFormat/>
    <w:rsid w:val="006f3426"/>
    <w:rPr>
      <w:rFonts w:ascii="Times New Roman" w:hAnsi="Times New Roman" w:eastAsia="Times New Roman" w:cs="Times New Roman"/>
      <w:color w:val="000000"/>
      <w:kern w:val="0"/>
      <w:sz w:val="20"/>
      <w:szCs w:val="20"/>
      <w:lang w:eastAsia="pt-BR"/>
      <w14:ligatures w14:val="none"/>
    </w:rPr>
  </w:style>
  <w:style w:type="character" w:styleId="CabealhoChar" w:customStyle="1">
    <w:name w:val="Cabeçalho Char"/>
    <w:basedOn w:val="DefaultParagraphFont"/>
    <w:uiPriority w:val="99"/>
    <w:qFormat/>
    <w:rsid w:val="006f3426"/>
    <w:rPr>
      <w:rFonts w:ascii="Times New Roman" w:hAnsi="Times New Roman" w:eastAsia="Times New Roman" w:cs="Times New Roman"/>
      <w:color w:val="000000"/>
      <w:kern w:val="0"/>
      <w:sz w:val="20"/>
      <w:szCs w:val="20"/>
      <w:lang w:eastAsia="pt-BR"/>
      <w14:ligatures w14:val="none"/>
    </w:rPr>
  </w:style>
  <w:style w:type="character" w:styleId="RodapChar" w:customStyle="1">
    <w:name w:val="Rodapé Char"/>
    <w:basedOn w:val="DefaultParagraphFont"/>
    <w:uiPriority w:val="99"/>
    <w:qFormat/>
    <w:rsid w:val="006f3426"/>
    <w:rPr>
      <w:rFonts w:ascii="Times New Roman" w:hAnsi="Times New Roman" w:eastAsia="Times New Roman" w:cs="Times New Roman"/>
      <w:color w:val="000000"/>
      <w:kern w:val="0"/>
      <w:sz w:val="20"/>
      <w:szCs w:val="20"/>
      <w:lang w:eastAsia="pt-BR"/>
      <w14:ligatures w14:val="non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cc7ede"/>
    <w:rPr>
      <w:sz w:val="16"/>
      <w:szCs w:val="16"/>
    </w:rPr>
  </w:style>
  <w:style w:type="character" w:styleId="TextodecomentrioChar" w:customStyle="1">
    <w:name w:val="Texto de comentário Char"/>
    <w:basedOn w:val="DefaultParagraphFont"/>
    <w:uiPriority w:val="99"/>
    <w:semiHidden/>
    <w:qFormat/>
    <w:rsid w:val="00cc7ede"/>
    <w:rPr>
      <w:rFonts w:ascii="Times New Roman" w:hAnsi="Times New Roman" w:eastAsia="Times New Roman" w:cs="Times New Roman"/>
      <w:color w:val="000000"/>
      <w:kern w:val="0"/>
      <w:sz w:val="20"/>
      <w:szCs w:val="20"/>
      <w:lang w:eastAsia="pt-BR"/>
      <w14:ligatures w14:val="none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cc7ede"/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pt-BR"/>
      <w14:ligatures w14:val="none"/>
    </w:rPr>
  </w:style>
  <w:style w:type="character" w:styleId="Linenumber">
    <w:name w:val="line number"/>
    <w:qFormat/>
    <w:rPr/>
  </w:style>
  <w:style w:type="character" w:styleId="Hyperlink">
    <w:name w:val="Hyperlink"/>
    <w:rPr>
      <w:color w:val="000080"/>
      <w:u w:val="single"/>
    </w:rPr>
  </w:style>
  <w:style w:type="character" w:styleId="Smbolosdenumerao">
    <w:name w:val="Símbolos de numeração"/>
    <w:qFormat/>
    <w:rPr/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ntepargpadro">
    <w:name w:val="Fonte parág. padrão"/>
    <w:qFormat/>
    <w:rPr/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2"/>
    <w:link w:val="CorpodetextoChar"/>
    <w:qFormat/>
    <w:pPr>
      <w:widowControl/>
      <w:suppressAutoHyphens w:val="true"/>
      <w:spacing w:lineRule="auto" w:line="276" w:before="0" w:after="140"/>
      <w:textAlignment w:val="auto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itle">
    <w:name w:val="Title"/>
    <w:basedOn w:val="Normal"/>
    <w:next w:val="Normal"/>
    <w:link w:val="TtuloChar"/>
    <w:uiPriority w:val="10"/>
    <w:qFormat/>
    <w:rsid w:val="006f3426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6f3426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6f3426"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6f3426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6f34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rmal1" w:customStyle="1">
    <w:name w:val="Normal1"/>
    <w:qFormat/>
    <w:rsid w:val="006f342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pt-BR" w:eastAsia="ar-SA" w:bidi="ar-SA"/>
      <w14:ligatures w14:val="none"/>
    </w:rPr>
  </w:style>
  <w:style w:type="paragraph" w:styleId="NormalWeb">
    <w:name w:val="Normal (Web)"/>
    <w:basedOn w:val="Normal1"/>
    <w:uiPriority w:val="99"/>
    <w:qFormat/>
    <w:rsid w:val="006f3426"/>
    <w:pPr>
      <w:spacing w:before="100" w:after="100"/>
    </w:pPr>
    <w:rPr>
      <w:rFonts w:ascii="Arial" w:hAnsi="Arial" w:eastAsia="Arial" w:cs="Arial"/>
      <w:szCs w:val="24"/>
    </w:rPr>
  </w:style>
  <w:style w:type="paragraph" w:styleId="Normal11" w:customStyle="1">
    <w:name w:val="normal11"/>
    <w:qFormat/>
    <w:rsid w:val="006f3426"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pt-BR" w:bidi="ar-SA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6f3426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6f3426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cc7ede"/>
    <w:pPr/>
    <w:rPr/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cc7ede"/>
    <w:pPr/>
    <w:rPr>
      <w:b/>
      <w:bCs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ormal2">
    <w:name w:val="Normal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pt-BR" w:eastAsia="en-US" w:bidi="ar-SA"/>
      <w14:ligatures w14:val="standardContextual"/>
    </w:rPr>
  </w:style>
  <w:style w:type="paragraph" w:styleId="Linhahorizontal">
    <w:name w:val="Linha horizontal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Anotao">
    <w:name w:val="Anotação"/>
    <w:basedOn w:val="Normal"/>
    <w:qFormat/>
    <w:pPr>
      <w:spacing w:before="56" w:after="0"/>
      <w:ind w:left="56" w:right="56"/>
    </w:pPr>
    <w:rPr>
      <w:sz w:val="20"/>
      <w:szCs w:val="2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/>
      <w:color w:val="000000"/>
      <w:kern w:val="2"/>
      <w:sz w:val="24"/>
      <w:szCs w:val="24"/>
      <w:lang w:val="pt-BR" w:eastAsia="en-US" w:bidi="ar-SA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licitar.digital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Application>LibreOffice/7.6.4.1$Windows_X86_64 LibreOffice_project/e19e193f88cd6c0525a17fb7a176ed8e6a3e2aa1</Application>
  <AppVersion>15.0000</AppVersion>
  <Pages>11</Pages>
  <Words>2874</Words>
  <Characters>17177</Characters>
  <CharactersWithSpaces>19833</CharactersWithSpaces>
  <Paragraphs>193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2025-07-22T16:45:00Z</dcterms:created>
  <dc:creator>viviane duarte</dc:creator>
  <dc:description/>
  <dc:language>pt-BR</dc:language>
  <cp:lastModifiedBy/>
  <dcterms:modified xsi:type="dcterms:W3CDTF">2025-08-25T15:08:30Z</dcterms:modified>
  <cp:revision>90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